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D84E0F" w:rsidRDefault="00770C77" w:rsidP="00664042">
      <w:pPr>
        <w:suppressAutoHyphens/>
        <w:jc w:val="right"/>
        <w:rPr>
          <w:rFonts w:asciiTheme="minorHAnsi" w:hAnsiTheme="minorHAnsi" w:cstheme="minorHAnsi"/>
          <w:b/>
          <w:bCs/>
          <w:sz w:val="20"/>
          <w:szCs w:val="20"/>
        </w:rPr>
      </w:pPr>
      <w:r w:rsidRPr="00D84E0F">
        <w:rPr>
          <w:rFonts w:asciiTheme="minorHAnsi" w:hAnsiTheme="minorHAnsi" w:cstheme="minorHAnsi"/>
          <w:b/>
          <w:bCs/>
          <w:sz w:val="20"/>
          <w:szCs w:val="20"/>
        </w:rPr>
        <w:t xml:space="preserve">Załącznik 2 do SWZ </w:t>
      </w:r>
    </w:p>
    <w:p w14:paraId="1652D364" w14:textId="6809BF70" w:rsidR="00770C77" w:rsidRPr="00D84E0F" w:rsidRDefault="00664042" w:rsidP="00770C77">
      <w:pPr>
        <w:keepNext/>
        <w:jc w:val="right"/>
        <w:outlineLvl w:val="4"/>
        <w:rPr>
          <w:rFonts w:asciiTheme="minorHAnsi" w:hAnsiTheme="minorHAnsi" w:cstheme="minorHAnsi"/>
          <w:b/>
          <w:bCs/>
          <w:sz w:val="20"/>
          <w:szCs w:val="20"/>
        </w:rPr>
      </w:pPr>
      <w:r w:rsidRPr="00D84E0F">
        <w:rPr>
          <w:rFonts w:asciiTheme="minorHAnsi" w:hAnsiTheme="minorHAnsi" w:cstheme="minorHAnsi"/>
          <w:b/>
          <w:bCs/>
          <w:sz w:val="20"/>
          <w:szCs w:val="20"/>
        </w:rPr>
        <w:t xml:space="preserve"> </w:t>
      </w:r>
      <w:r w:rsidR="003A26B8" w:rsidRPr="00D84E0F">
        <w:rPr>
          <w:rFonts w:asciiTheme="minorHAnsi" w:hAnsiTheme="minorHAnsi" w:cstheme="minorHAnsi"/>
          <w:b/>
          <w:bCs/>
          <w:sz w:val="20"/>
          <w:szCs w:val="20"/>
        </w:rPr>
        <w:t xml:space="preserve">Nr sprawy </w:t>
      </w:r>
      <w:r w:rsidR="007C6563">
        <w:rPr>
          <w:rFonts w:asciiTheme="minorHAnsi" w:hAnsiTheme="minorHAnsi" w:cstheme="minorHAnsi"/>
          <w:b/>
          <w:bCs/>
          <w:sz w:val="20"/>
          <w:szCs w:val="20"/>
        </w:rPr>
        <w:t>NZP.271.71.2026</w:t>
      </w:r>
    </w:p>
    <w:p w14:paraId="02846E7C" w14:textId="77777777" w:rsidR="00770C77" w:rsidRPr="00D84E0F" w:rsidRDefault="00770C77" w:rsidP="00770C77">
      <w:pPr>
        <w:keepNext/>
        <w:outlineLvl w:val="0"/>
        <w:rPr>
          <w:rFonts w:asciiTheme="minorHAnsi" w:hAnsiTheme="minorHAnsi" w:cstheme="minorHAnsi"/>
          <w:b/>
          <w:bCs/>
          <w:sz w:val="20"/>
          <w:szCs w:val="20"/>
        </w:rPr>
      </w:pPr>
    </w:p>
    <w:p w14:paraId="2D8F45A4" w14:textId="77777777" w:rsidR="00770C77" w:rsidRPr="00D84E0F" w:rsidRDefault="00770C77" w:rsidP="00770C77">
      <w:pPr>
        <w:keepNext/>
        <w:jc w:val="center"/>
        <w:outlineLvl w:val="0"/>
        <w:rPr>
          <w:rFonts w:asciiTheme="minorHAnsi" w:hAnsiTheme="minorHAnsi" w:cstheme="minorHAnsi"/>
          <w:b/>
          <w:bCs/>
          <w:sz w:val="20"/>
          <w:szCs w:val="20"/>
        </w:rPr>
      </w:pPr>
      <w:r w:rsidRPr="00D84E0F">
        <w:rPr>
          <w:rFonts w:asciiTheme="minorHAnsi" w:hAnsiTheme="minorHAnsi" w:cstheme="minorHAnsi"/>
          <w:b/>
          <w:bCs/>
          <w:sz w:val="20"/>
          <w:szCs w:val="20"/>
        </w:rPr>
        <w:t xml:space="preserve">ZESTAWIENIE PARAMETRÓW TECHNICZNYCH, WARUNKÓW GWARANCJI ORAZ SZKOLEŃ </w:t>
      </w:r>
    </w:p>
    <w:p w14:paraId="30085FDA" w14:textId="77777777" w:rsidR="00770C77" w:rsidRPr="00D84E0F" w:rsidRDefault="00770C77" w:rsidP="00770C77">
      <w:pPr>
        <w:keepNext/>
        <w:outlineLvl w:val="0"/>
        <w:rPr>
          <w:rFonts w:asciiTheme="minorHAnsi" w:hAnsiTheme="minorHAnsi" w:cstheme="minorHAnsi"/>
          <w:b/>
          <w:bCs/>
          <w:sz w:val="20"/>
          <w:szCs w:val="20"/>
        </w:rPr>
      </w:pPr>
    </w:p>
    <w:p w14:paraId="75D8B55B" w14:textId="77777777" w:rsidR="007C6563" w:rsidRPr="002E5A47" w:rsidRDefault="00776AEE" w:rsidP="007C6563">
      <w:pPr>
        <w:ind w:left="1276" w:hanging="1276"/>
        <w:jc w:val="both"/>
        <w:rPr>
          <w:rFonts w:ascii="Cambria" w:hAnsi="Cambria" w:cs="Calibri"/>
          <w:bCs/>
        </w:rPr>
      </w:pPr>
      <w:bookmarkStart w:id="0" w:name="_Hlk189831877"/>
      <w:r w:rsidRPr="00D84E0F">
        <w:rPr>
          <w:rFonts w:asciiTheme="minorHAnsi" w:hAnsiTheme="minorHAnsi" w:cstheme="minorHAnsi"/>
          <w:b/>
          <w:sz w:val="20"/>
          <w:szCs w:val="20"/>
        </w:rPr>
        <w:t>Dotyczy:</w:t>
      </w:r>
      <w:r w:rsidRPr="00D84E0F">
        <w:rPr>
          <w:rFonts w:asciiTheme="minorHAnsi" w:hAnsiTheme="minorHAnsi" w:cstheme="minorHAnsi"/>
          <w:bCs/>
          <w:sz w:val="20"/>
          <w:szCs w:val="20"/>
        </w:rPr>
        <w:t xml:space="preserve">   </w:t>
      </w:r>
      <w:bookmarkStart w:id="1" w:name="_Hlk190338314"/>
      <w:bookmarkEnd w:id="0"/>
      <w:r w:rsidR="000A6993" w:rsidRPr="00D84E0F">
        <w:rPr>
          <w:rFonts w:asciiTheme="minorHAnsi" w:hAnsiTheme="minorHAnsi" w:cstheme="minorHAnsi"/>
          <w:bCs/>
          <w:sz w:val="20"/>
          <w:szCs w:val="20"/>
        </w:rPr>
        <w:t xml:space="preserve"> </w:t>
      </w:r>
      <w:r w:rsidR="00130A48" w:rsidRPr="00D84E0F">
        <w:rPr>
          <w:rFonts w:asciiTheme="minorHAnsi" w:hAnsiTheme="minorHAnsi" w:cstheme="minorHAnsi"/>
          <w:bCs/>
          <w:sz w:val="20"/>
          <w:szCs w:val="20"/>
        </w:rPr>
        <w:tab/>
      </w:r>
      <w:bookmarkStart w:id="2" w:name="_Hlk227151365"/>
      <w:bookmarkEnd w:id="1"/>
      <w:r w:rsidR="007C6563" w:rsidRPr="007C6563">
        <w:rPr>
          <w:rFonts w:asciiTheme="minorHAnsi" w:hAnsiTheme="minorHAnsi" w:cstheme="minorHAnsi"/>
          <w:bCs/>
          <w:sz w:val="20"/>
          <w:szCs w:val="20"/>
        </w:rPr>
        <w:t xml:space="preserve">Postępowanie o udzielenie zamówienia publicznego o </w:t>
      </w:r>
      <w:bookmarkStart w:id="3" w:name="_Hlk189737608"/>
      <w:r w:rsidR="007C6563" w:rsidRPr="007C6563">
        <w:rPr>
          <w:rFonts w:asciiTheme="minorHAnsi" w:hAnsiTheme="minorHAnsi" w:cstheme="minorHAnsi"/>
          <w:bCs/>
          <w:sz w:val="20"/>
          <w:szCs w:val="20"/>
        </w:rPr>
        <w:t xml:space="preserve">wartości </w:t>
      </w:r>
      <w:r w:rsidR="007C6563" w:rsidRPr="007C6563">
        <w:rPr>
          <w:rFonts w:asciiTheme="minorHAnsi" w:hAnsiTheme="minorHAnsi" w:cstheme="minorHAnsi"/>
          <w:color w:val="000000"/>
          <w:sz w:val="20"/>
          <w:szCs w:val="20"/>
        </w:rPr>
        <w:t>powyżej 10 000 000 euro na  dostawę sprzętu medycznego dla Oddziału Neurochirurgii i Nowotworów Układu Nerwowego Wojewódzkiego Wielospecjalistycznego Centrum Onkologii i Traumatologii im. M. Kopernika w Łodzi.</w:t>
      </w:r>
      <w:bookmarkEnd w:id="2"/>
    </w:p>
    <w:bookmarkEnd w:id="3"/>
    <w:p w14:paraId="65F25540" w14:textId="15B24C49" w:rsidR="009362C4" w:rsidRDefault="009362C4" w:rsidP="007C6563">
      <w:pPr>
        <w:tabs>
          <w:tab w:val="left" w:pos="1418"/>
        </w:tabs>
        <w:ind w:left="1418" w:hanging="1418"/>
        <w:jc w:val="both"/>
        <w:rPr>
          <w:rFonts w:asciiTheme="minorHAnsi" w:hAnsiTheme="minorHAnsi" w:cstheme="minorHAnsi"/>
          <w:b/>
          <w:bCs/>
          <w:sz w:val="20"/>
          <w:szCs w:val="20"/>
        </w:rPr>
      </w:pPr>
    </w:p>
    <w:p w14:paraId="305074C4" w14:textId="77777777" w:rsidR="00601AA4" w:rsidRPr="00D84E0F" w:rsidRDefault="00601AA4" w:rsidP="000A6993">
      <w:pPr>
        <w:ind w:left="1276" w:hanging="1276"/>
        <w:jc w:val="both"/>
        <w:rPr>
          <w:rFonts w:asciiTheme="minorHAnsi" w:hAnsiTheme="minorHAnsi" w:cstheme="minorHAnsi"/>
          <w:b/>
          <w:bCs/>
          <w:sz w:val="20"/>
          <w:szCs w:val="20"/>
        </w:rPr>
      </w:pPr>
    </w:p>
    <w:p w14:paraId="10FD55B3" w14:textId="0DBE810F" w:rsidR="00601AA4" w:rsidRPr="00601AA4" w:rsidRDefault="00515190" w:rsidP="00601AA4">
      <w:pPr>
        <w:tabs>
          <w:tab w:val="left" w:pos="426"/>
        </w:tabs>
        <w:ind w:left="426"/>
        <w:jc w:val="both"/>
        <w:rPr>
          <w:rFonts w:asciiTheme="minorHAnsi" w:hAnsiTheme="minorHAnsi" w:cstheme="minorHAnsi"/>
          <w:b/>
          <w:sz w:val="20"/>
          <w:szCs w:val="20"/>
          <w:lang w:eastAsia="ar-SA"/>
        </w:rPr>
      </w:pPr>
      <w:r w:rsidRPr="00D84E0F">
        <w:rPr>
          <w:rFonts w:asciiTheme="minorHAnsi" w:hAnsiTheme="minorHAnsi" w:cstheme="minorHAnsi"/>
          <w:b/>
          <w:bCs/>
          <w:sz w:val="20"/>
          <w:szCs w:val="20"/>
        </w:rPr>
        <w:t xml:space="preserve">Pakiet nr </w:t>
      </w:r>
      <w:r w:rsidR="005E544F">
        <w:rPr>
          <w:rFonts w:asciiTheme="minorHAnsi" w:hAnsiTheme="minorHAnsi" w:cstheme="minorHAnsi"/>
          <w:b/>
          <w:bCs/>
          <w:sz w:val="20"/>
          <w:szCs w:val="20"/>
        </w:rPr>
        <w:t>2</w:t>
      </w:r>
      <w:r w:rsidR="00601AA4">
        <w:rPr>
          <w:rFonts w:asciiTheme="minorHAnsi" w:hAnsiTheme="minorHAnsi" w:cstheme="minorHAnsi"/>
          <w:b/>
          <w:bCs/>
          <w:sz w:val="20"/>
          <w:szCs w:val="20"/>
        </w:rPr>
        <w:t xml:space="preserve"> </w:t>
      </w:r>
      <w:r w:rsidR="007C6563">
        <w:rPr>
          <w:rFonts w:asciiTheme="minorHAnsi" w:hAnsiTheme="minorHAnsi" w:cstheme="minorHAnsi"/>
          <w:b/>
          <w:bCs/>
          <w:sz w:val="20"/>
          <w:szCs w:val="20"/>
        </w:rPr>
        <w:t>–</w:t>
      </w:r>
      <w:r w:rsidR="00601AA4">
        <w:rPr>
          <w:rFonts w:asciiTheme="minorHAnsi" w:hAnsiTheme="minorHAnsi" w:cstheme="minorHAnsi"/>
          <w:b/>
          <w:bCs/>
          <w:sz w:val="20"/>
          <w:szCs w:val="20"/>
        </w:rPr>
        <w:t xml:space="preserve"> </w:t>
      </w:r>
      <w:r w:rsidR="005E544F" w:rsidRPr="005E544F">
        <w:rPr>
          <w:rFonts w:asciiTheme="minorHAnsi" w:hAnsiTheme="minorHAnsi" w:cstheme="minorHAnsi"/>
          <w:b/>
          <w:sz w:val="20"/>
          <w:szCs w:val="20"/>
          <w:lang w:eastAsia="ar-SA"/>
        </w:rPr>
        <w:t>Kardiomonitory i centrala monitorowania</w:t>
      </w:r>
    </w:p>
    <w:p w14:paraId="39D2952D" w14:textId="61CD7450" w:rsidR="00515190" w:rsidRDefault="00515190" w:rsidP="000A6993">
      <w:pPr>
        <w:ind w:left="1276" w:hanging="1276"/>
        <w:jc w:val="both"/>
        <w:rPr>
          <w:rFonts w:asciiTheme="minorHAnsi" w:hAnsiTheme="minorHAnsi" w:cstheme="minorHAnsi"/>
          <w:b/>
          <w:bC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42"/>
        <w:gridCol w:w="7856"/>
        <w:gridCol w:w="3012"/>
        <w:gridCol w:w="2768"/>
      </w:tblGrid>
      <w:tr w:rsidR="00601AA4" w:rsidRPr="00CC3541" w14:paraId="7072E53B" w14:textId="77777777" w:rsidTr="005C31A8">
        <w:trPr>
          <w:trHeight w:val="441"/>
        </w:trPr>
        <w:tc>
          <w:tcPr>
            <w:tcW w:w="1742" w:type="dxa"/>
            <w:shd w:val="clear" w:color="auto" w:fill="DBE5F1"/>
            <w:vAlign w:val="center"/>
          </w:tcPr>
          <w:p w14:paraId="02FB9CE5"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Lp.</w:t>
            </w:r>
          </w:p>
        </w:tc>
        <w:tc>
          <w:tcPr>
            <w:tcW w:w="7856" w:type="dxa"/>
            <w:shd w:val="clear" w:color="auto" w:fill="DBE5F1"/>
            <w:vAlign w:val="center"/>
          </w:tcPr>
          <w:p w14:paraId="09BEBAC9"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Parametr (opis szczegółowy)</w:t>
            </w:r>
          </w:p>
        </w:tc>
        <w:tc>
          <w:tcPr>
            <w:tcW w:w="3012" w:type="dxa"/>
            <w:shd w:val="clear" w:color="auto" w:fill="DBE5F1"/>
            <w:vAlign w:val="center"/>
          </w:tcPr>
          <w:p w14:paraId="75107055"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Warunki wymagane wpisać: (tak / nie)</w:t>
            </w:r>
          </w:p>
        </w:tc>
        <w:tc>
          <w:tcPr>
            <w:tcW w:w="2768" w:type="dxa"/>
            <w:shd w:val="clear" w:color="auto" w:fill="DBE5F1"/>
            <w:vAlign w:val="center"/>
          </w:tcPr>
          <w:p w14:paraId="12B2705F" w14:textId="77777777" w:rsidR="00601AA4" w:rsidRPr="00CC3541" w:rsidRDefault="00601AA4" w:rsidP="00976ECC">
            <w:pPr>
              <w:jc w:val="center"/>
              <w:rPr>
                <w:rFonts w:asciiTheme="minorHAnsi" w:hAnsiTheme="minorHAnsi" w:cstheme="minorHAnsi"/>
                <w:b/>
                <w:i/>
                <w:color w:val="000000" w:themeColor="text1"/>
                <w:sz w:val="20"/>
                <w:szCs w:val="20"/>
              </w:rPr>
            </w:pPr>
            <w:r w:rsidRPr="00CC3541">
              <w:rPr>
                <w:rFonts w:asciiTheme="minorHAnsi" w:hAnsiTheme="minorHAnsi" w:cstheme="minorHAnsi"/>
                <w:b/>
                <w:i/>
                <w:color w:val="000000" w:themeColor="text1"/>
                <w:sz w:val="20"/>
                <w:szCs w:val="20"/>
              </w:rPr>
              <w:t xml:space="preserve">PARAMETRY OFEROWANE: Potwierdzenie Wykonawcy </w:t>
            </w:r>
          </w:p>
          <w:p w14:paraId="628DAEAC"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i/>
                <w:color w:val="000000" w:themeColor="text1"/>
                <w:sz w:val="20"/>
              </w:rPr>
              <w:t>TAK lub opis parametrów oferowanych/ podać zakresy/ opisać</w:t>
            </w:r>
          </w:p>
        </w:tc>
      </w:tr>
      <w:tr w:rsidR="00521BC2" w:rsidRPr="00CC3541" w14:paraId="5AB81EBA" w14:textId="77777777" w:rsidTr="005C31A8">
        <w:tc>
          <w:tcPr>
            <w:tcW w:w="1742" w:type="dxa"/>
            <w:shd w:val="clear" w:color="auto" w:fill="F2F2F2" w:themeFill="background1" w:themeFillShade="F2"/>
          </w:tcPr>
          <w:p w14:paraId="02D10618" w14:textId="28FE2265" w:rsidR="00521BC2" w:rsidRPr="00CC3541" w:rsidRDefault="00521BC2" w:rsidP="00521BC2">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I</w:t>
            </w:r>
          </w:p>
        </w:tc>
        <w:tc>
          <w:tcPr>
            <w:tcW w:w="7856" w:type="dxa"/>
            <w:shd w:val="clear" w:color="auto" w:fill="F2F2F2" w:themeFill="background1" w:themeFillShade="F2"/>
            <w:vAlign w:val="center"/>
          </w:tcPr>
          <w:p w14:paraId="27E36B5C" w14:textId="44C17A55" w:rsidR="00521BC2" w:rsidRPr="00CC3541" w:rsidRDefault="00521BC2" w:rsidP="00521BC2">
            <w:pPr>
              <w:pStyle w:val="Tekstpodstawowy"/>
              <w:rPr>
                <w:rFonts w:asciiTheme="minorHAnsi" w:hAnsiTheme="minorHAnsi" w:cstheme="minorHAnsi"/>
                <w:b/>
                <w:bCs/>
                <w:sz w:val="20"/>
              </w:rPr>
            </w:pPr>
            <w:r w:rsidRPr="00CC3541">
              <w:rPr>
                <w:rFonts w:asciiTheme="minorHAnsi" w:hAnsiTheme="minorHAnsi" w:cstheme="minorHAnsi"/>
                <w:b/>
                <w:bCs/>
                <w:sz w:val="20"/>
              </w:rPr>
              <w:t>Wymagania ogólne</w:t>
            </w:r>
          </w:p>
        </w:tc>
        <w:tc>
          <w:tcPr>
            <w:tcW w:w="3012" w:type="dxa"/>
            <w:shd w:val="clear" w:color="auto" w:fill="F2F2F2" w:themeFill="background1" w:themeFillShade="F2"/>
            <w:vAlign w:val="center"/>
          </w:tcPr>
          <w:p w14:paraId="5A9A7B72" w14:textId="77777777" w:rsidR="00521BC2" w:rsidRPr="00CC3541" w:rsidRDefault="00521BC2" w:rsidP="00521BC2">
            <w:pPr>
              <w:pStyle w:val="Tekstpodstawowy"/>
              <w:jc w:val="center"/>
              <w:rPr>
                <w:rFonts w:asciiTheme="minorHAnsi" w:hAnsiTheme="minorHAnsi" w:cstheme="minorHAnsi"/>
                <w:b/>
                <w:bCs/>
                <w:sz w:val="20"/>
              </w:rPr>
            </w:pPr>
          </w:p>
        </w:tc>
        <w:tc>
          <w:tcPr>
            <w:tcW w:w="2768" w:type="dxa"/>
            <w:shd w:val="clear" w:color="auto" w:fill="F2F2F2" w:themeFill="background1" w:themeFillShade="F2"/>
          </w:tcPr>
          <w:p w14:paraId="737E98C8" w14:textId="77777777" w:rsidR="00521BC2" w:rsidRPr="00CC3541" w:rsidRDefault="00521BC2" w:rsidP="00521BC2">
            <w:pPr>
              <w:pStyle w:val="Tekstpodstawowy"/>
              <w:jc w:val="left"/>
              <w:rPr>
                <w:rFonts w:asciiTheme="minorHAnsi" w:hAnsiTheme="minorHAnsi" w:cstheme="minorHAnsi"/>
                <w:b/>
                <w:bCs/>
                <w:i/>
                <w:sz w:val="20"/>
              </w:rPr>
            </w:pPr>
          </w:p>
        </w:tc>
      </w:tr>
      <w:tr w:rsidR="007C6563" w:rsidRPr="00CC3541" w14:paraId="454058B0" w14:textId="77777777" w:rsidTr="005C31A8">
        <w:tc>
          <w:tcPr>
            <w:tcW w:w="1742" w:type="dxa"/>
            <w:shd w:val="clear" w:color="auto" w:fill="auto"/>
          </w:tcPr>
          <w:p w14:paraId="647F98F7" w14:textId="4D4BE4FE" w:rsidR="007C6563" w:rsidRPr="007C6563" w:rsidRDefault="007C6563" w:rsidP="007C6563">
            <w:pPr>
              <w:pStyle w:val="Tekstpodstawowy"/>
              <w:jc w:val="center"/>
              <w:rPr>
                <w:rFonts w:asciiTheme="minorHAnsi" w:hAnsiTheme="minorHAnsi" w:cstheme="minorHAnsi"/>
                <w:b/>
                <w:bCs/>
                <w:iCs/>
                <w:sz w:val="20"/>
              </w:rPr>
            </w:pPr>
            <w:r w:rsidRPr="007C6563">
              <w:rPr>
                <w:rFonts w:asciiTheme="minorHAnsi" w:hAnsiTheme="minorHAnsi" w:cstheme="minorHAnsi"/>
                <w:b/>
                <w:bCs/>
                <w:iCs/>
                <w:sz w:val="20"/>
              </w:rPr>
              <w:t>1</w:t>
            </w:r>
          </w:p>
        </w:tc>
        <w:tc>
          <w:tcPr>
            <w:tcW w:w="7856" w:type="dxa"/>
            <w:shd w:val="clear" w:color="auto" w:fill="auto"/>
            <w:vAlign w:val="center"/>
          </w:tcPr>
          <w:p w14:paraId="0E1C1BF1" w14:textId="60DF9D11" w:rsidR="007C6563" w:rsidRPr="007C6563" w:rsidRDefault="007C6563" w:rsidP="007C6563">
            <w:pPr>
              <w:pStyle w:val="Tekstpodstawowy"/>
              <w:rPr>
                <w:rFonts w:asciiTheme="minorHAnsi" w:hAnsiTheme="minorHAnsi" w:cstheme="minorHAnsi"/>
                <w:b/>
                <w:bCs/>
                <w:i/>
                <w:sz w:val="20"/>
              </w:rPr>
            </w:pPr>
            <w:r w:rsidRPr="007C6563">
              <w:rPr>
                <w:rFonts w:asciiTheme="minorHAnsi" w:hAnsiTheme="minorHAnsi" w:cstheme="minorHAnsi"/>
                <w:sz w:val="20"/>
              </w:rPr>
              <w:t>Nazwa Urządzenia</w:t>
            </w:r>
          </w:p>
        </w:tc>
        <w:tc>
          <w:tcPr>
            <w:tcW w:w="3012" w:type="dxa"/>
            <w:shd w:val="clear" w:color="auto" w:fill="auto"/>
            <w:vAlign w:val="center"/>
          </w:tcPr>
          <w:p w14:paraId="6768A8B7" w14:textId="02CEB7EC"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351D6F37"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4481D20F" w14:textId="77777777" w:rsidTr="005C31A8">
        <w:tc>
          <w:tcPr>
            <w:tcW w:w="1742" w:type="dxa"/>
            <w:shd w:val="clear" w:color="auto" w:fill="auto"/>
          </w:tcPr>
          <w:p w14:paraId="50972B42" w14:textId="77885027" w:rsidR="007C6563" w:rsidRPr="007C6563" w:rsidRDefault="007C6563" w:rsidP="007C6563">
            <w:pPr>
              <w:pStyle w:val="Tekstpodstawowy"/>
              <w:jc w:val="center"/>
              <w:rPr>
                <w:rFonts w:asciiTheme="minorHAnsi" w:hAnsiTheme="minorHAnsi" w:cstheme="minorHAnsi"/>
                <w:b/>
                <w:bCs/>
                <w:iCs/>
                <w:sz w:val="20"/>
              </w:rPr>
            </w:pPr>
            <w:r w:rsidRPr="007C6563">
              <w:rPr>
                <w:rFonts w:asciiTheme="minorHAnsi" w:hAnsiTheme="minorHAnsi" w:cstheme="minorHAnsi"/>
                <w:b/>
                <w:bCs/>
                <w:iCs/>
                <w:sz w:val="20"/>
              </w:rPr>
              <w:t>2</w:t>
            </w:r>
          </w:p>
        </w:tc>
        <w:tc>
          <w:tcPr>
            <w:tcW w:w="7856" w:type="dxa"/>
            <w:shd w:val="clear" w:color="auto" w:fill="auto"/>
            <w:vAlign w:val="center"/>
          </w:tcPr>
          <w:p w14:paraId="52635C37" w14:textId="1A5F035C" w:rsidR="007C6563" w:rsidRPr="005C31A8" w:rsidRDefault="005C31A8" w:rsidP="007C6563">
            <w:pPr>
              <w:pStyle w:val="Tekstpodstawowy"/>
              <w:rPr>
                <w:rFonts w:asciiTheme="minorHAnsi" w:hAnsiTheme="minorHAnsi" w:cstheme="minorHAnsi"/>
                <w:b/>
                <w:bCs/>
                <w:i/>
                <w:sz w:val="20"/>
              </w:rPr>
            </w:pPr>
            <w:r w:rsidRPr="005C31A8">
              <w:rPr>
                <w:rFonts w:asciiTheme="minorHAnsi" w:hAnsiTheme="minorHAnsi" w:cstheme="minorHAnsi"/>
                <w:sz w:val="20"/>
              </w:rPr>
              <w:t>Numer katalogowy produktu</w:t>
            </w:r>
          </w:p>
        </w:tc>
        <w:tc>
          <w:tcPr>
            <w:tcW w:w="3012" w:type="dxa"/>
            <w:shd w:val="clear" w:color="auto" w:fill="auto"/>
            <w:vAlign w:val="center"/>
          </w:tcPr>
          <w:p w14:paraId="48D590A2" w14:textId="3F09A51B"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441A6AD9"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659D2D5A" w14:textId="77777777" w:rsidTr="005C31A8">
        <w:tc>
          <w:tcPr>
            <w:tcW w:w="1742" w:type="dxa"/>
            <w:shd w:val="clear" w:color="auto" w:fill="auto"/>
          </w:tcPr>
          <w:p w14:paraId="43647160" w14:textId="2A17D693" w:rsidR="007C6563" w:rsidRPr="007C6563" w:rsidRDefault="007C6563" w:rsidP="007C6563">
            <w:pPr>
              <w:pStyle w:val="Tekstpodstawowy"/>
              <w:jc w:val="center"/>
              <w:rPr>
                <w:rFonts w:asciiTheme="minorHAnsi" w:hAnsiTheme="minorHAnsi" w:cstheme="minorHAnsi"/>
                <w:b/>
                <w:bCs/>
                <w:iCs/>
                <w:sz w:val="20"/>
              </w:rPr>
            </w:pPr>
            <w:r w:rsidRPr="007C6563">
              <w:rPr>
                <w:rFonts w:asciiTheme="minorHAnsi" w:hAnsiTheme="minorHAnsi" w:cstheme="minorHAnsi"/>
                <w:b/>
                <w:bCs/>
                <w:iCs/>
                <w:sz w:val="20"/>
              </w:rPr>
              <w:t>3</w:t>
            </w:r>
          </w:p>
        </w:tc>
        <w:tc>
          <w:tcPr>
            <w:tcW w:w="7856" w:type="dxa"/>
            <w:shd w:val="clear" w:color="auto" w:fill="auto"/>
            <w:vAlign w:val="center"/>
          </w:tcPr>
          <w:p w14:paraId="7F5E473D" w14:textId="70CF025F" w:rsidR="007C6563" w:rsidRPr="007C6563" w:rsidRDefault="007C6563" w:rsidP="007C6563">
            <w:pPr>
              <w:pStyle w:val="Tekstpodstawowy"/>
              <w:rPr>
                <w:rFonts w:asciiTheme="minorHAnsi" w:hAnsiTheme="minorHAnsi" w:cstheme="minorHAnsi"/>
                <w:b/>
                <w:bCs/>
                <w:i/>
                <w:sz w:val="20"/>
              </w:rPr>
            </w:pPr>
            <w:r w:rsidRPr="007C6563">
              <w:rPr>
                <w:rFonts w:asciiTheme="minorHAnsi" w:hAnsiTheme="minorHAnsi" w:cstheme="minorHAnsi"/>
                <w:sz w:val="20"/>
              </w:rPr>
              <w:t>Producent</w:t>
            </w:r>
          </w:p>
        </w:tc>
        <w:tc>
          <w:tcPr>
            <w:tcW w:w="3012" w:type="dxa"/>
            <w:shd w:val="clear" w:color="auto" w:fill="auto"/>
            <w:vAlign w:val="center"/>
          </w:tcPr>
          <w:p w14:paraId="5EDFE76B" w14:textId="5F6E5079"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4EBDE23D"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3743A958" w14:textId="77777777" w:rsidTr="005C31A8">
        <w:tc>
          <w:tcPr>
            <w:tcW w:w="1742" w:type="dxa"/>
            <w:shd w:val="clear" w:color="auto" w:fill="auto"/>
          </w:tcPr>
          <w:p w14:paraId="59E1C4D0" w14:textId="209FDD26" w:rsidR="007C6563" w:rsidRPr="007C6563" w:rsidRDefault="007C6563" w:rsidP="007C6563">
            <w:pPr>
              <w:pStyle w:val="Tekstpodstawowy"/>
              <w:jc w:val="center"/>
              <w:rPr>
                <w:rFonts w:asciiTheme="minorHAnsi" w:hAnsiTheme="minorHAnsi" w:cstheme="minorHAnsi"/>
                <w:b/>
                <w:bCs/>
                <w:iCs/>
                <w:sz w:val="20"/>
              </w:rPr>
            </w:pPr>
            <w:r w:rsidRPr="007C6563">
              <w:rPr>
                <w:rFonts w:asciiTheme="minorHAnsi" w:hAnsiTheme="minorHAnsi" w:cstheme="minorHAnsi"/>
                <w:b/>
                <w:bCs/>
                <w:iCs/>
                <w:sz w:val="20"/>
              </w:rPr>
              <w:t>4</w:t>
            </w:r>
          </w:p>
        </w:tc>
        <w:tc>
          <w:tcPr>
            <w:tcW w:w="7856" w:type="dxa"/>
            <w:shd w:val="clear" w:color="auto" w:fill="auto"/>
            <w:vAlign w:val="center"/>
          </w:tcPr>
          <w:p w14:paraId="454847B6" w14:textId="36A20197" w:rsidR="007C6563" w:rsidRPr="007C6563" w:rsidRDefault="007C6563" w:rsidP="007C6563">
            <w:pPr>
              <w:pStyle w:val="Tekstpodstawowy"/>
              <w:rPr>
                <w:rFonts w:asciiTheme="minorHAnsi" w:hAnsiTheme="minorHAnsi" w:cstheme="minorHAnsi"/>
                <w:b/>
                <w:bCs/>
                <w:i/>
                <w:sz w:val="20"/>
              </w:rPr>
            </w:pPr>
            <w:r w:rsidRPr="007C6563">
              <w:rPr>
                <w:rFonts w:asciiTheme="minorHAnsi" w:hAnsiTheme="minorHAnsi" w:cstheme="minorHAnsi"/>
                <w:sz w:val="20"/>
              </w:rPr>
              <w:t>Kraj pochodzenia</w:t>
            </w:r>
          </w:p>
        </w:tc>
        <w:tc>
          <w:tcPr>
            <w:tcW w:w="3012" w:type="dxa"/>
            <w:shd w:val="clear" w:color="auto" w:fill="auto"/>
            <w:vAlign w:val="center"/>
          </w:tcPr>
          <w:p w14:paraId="00F3FD65" w14:textId="79A0BEA3"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2B4CAADD"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73B377D7" w14:textId="77777777" w:rsidTr="005C31A8">
        <w:tc>
          <w:tcPr>
            <w:tcW w:w="1742" w:type="dxa"/>
            <w:shd w:val="clear" w:color="auto" w:fill="auto"/>
          </w:tcPr>
          <w:p w14:paraId="72EF8DC0" w14:textId="26BE5C1E" w:rsidR="007C6563" w:rsidRPr="007C6563" w:rsidRDefault="007C6563" w:rsidP="007C6563">
            <w:pPr>
              <w:pStyle w:val="Tekstpodstawowy"/>
              <w:jc w:val="center"/>
              <w:rPr>
                <w:rFonts w:asciiTheme="minorHAnsi" w:hAnsiTheme="minorHAnsi" w:cstheme="minorHAnsi"/>
                <w:iCs/>
                <w:sz w:val="20"/>
              </w:rPr>
            </w:pPr>
            <w:r w:rsidRPr="007C6563">
              <w:rPr>
                <w:rFonts w:asciiTheme="minorHAnsi" w:hAnsiTheme="minorHAnsi" w:cstheme="minorHAnsi"/>
                <w:b/>
                <w:bCs/>
                <w:iCs/>
                <w:sz w:val="20"/>
              </w:rPr>
              <w:t>5</w:t>
            </w:r>
          </w:p>
        </w:tc>
        <w:tc>
          <w:tcPr>
            <w:tcW w:w="7856" w:type="dxa"/>
            <w:shd w:val="clear" w:color="auto" w:fill="auto"/>
            <w:vAlign w:val="center"/>
          </w:tcPr>
          <w:p w14:paraId="6B1DE1F4" w14:textId="503FD386" w:rsidR="007C6563" w:rsidRPr="007C6563" w:rsidRDefault="007C6563" w:rsidP="007C6563">
            <w:pPr>
              <w:pStyle w:val="Tekstpodstawowy"/>
              <w:rPr>
                <w:rFonts w:asciiTheme="minorHAnsi" w:hAnsiTheme="minorHAnsi" w:cstheme="minorHAnsi"/>
                <w:color w:val="000000"/>
                <w:sz w:val="20"/>
              </w:rPr>
            </w:pPr>
            <w:r w:rsidRPr="007C6563">
              <w:rPr>
                <w:rFonts w:asciiTheme="minorHAnsi" w:hAnsiTheme="minorHAnsi" w:cstheme="minorHAnsi"/>
                <w:sz w:val="20"/>
              </w:rPr>
              <w:t>Rok produkcji min. 202</w:t>
            </w:r>
            <w:r w:rsidR="005C31A8">
              <w:rPr>
                <w:rFonts w:asciiTheme="minorHAnsi" w:hAnsiTheme="minorHAnsi" w:cstheme="minorHAnsi"/>
                <w:sz w:val="20"/>
              </w:rPr>
              <w:t>5</w:t>
            </w:r>
            <w:r w:rsidRPr="007C6563">
              <w:rPr>
                <w:rFonts w:asciiTheme="minorHAnsi" w:hAnsiTheme="minorHAnsi" w:cstheme="minorHAnsi"/>
                <w:sz w:val="20"/>
              </w:rPr>
              <w:t xml:space="preserve"> r.</w:t>
            </w:r>
          </w:p>
        </w:tc>
        <w:tc>
          <w:tcPr>
            <w:tcW w:w="3012" w:type="dxa"/>
            <w:shd w:val="clear" w:color="auto" w:fill="auto"/>
            <w:vAlign w:val="center"/>
          </w:tcPr>
          <w:p w14:paraId="74723A5C" w14:textId="1B056E10" w:rsidR="007C6563" w:rsidRPr="007C6563" w:rsidRDefault="007C6563" w:rsidP="007C6563">
            <w:pPr>
              <w:pStyle w:val="Tekstpodstawowy"/>
              <w:jc w:val="center"/>
              <w:rPr>
                <w:rFonts w:asciiTheme="minorHAnsi" w:hAnsiTheme="minorHAnsi" w:cstheme="minorHAnsi"/>
                <w:sz w:val="20"/>
              </w:rPr>
            </w:pPr>
            <w:r w:rsidRPr="007C6563">
              <w:rPr>
                <w:rFonts w:asciiTheme="minorHAnsi" w:hAnsiTheme="minorHAnsi" w:cstheme="minorHAnsi"/>
                <w:sz w:val="20"/>
              </w:rPr>
              <w:t>PODAĆ</w:t>
            </w:r>
          </w:p>
        </w:tc>
        <w:tc>
          <w:tcPr>
            <w:tcW w:w="2768" w:type="dxa"/>
            <w:shd w:val="clear" w:color="auto" w:fill="auto"/>
          </w:tcPr>
          <w:p w14:paraId="5D35CAD7" w14:textId="77777777" w:rsidR="007C6563" w:rsidRPr="00CC3541" w:rsidRDefault="007C6563" w:rsidP="007C6563">
            <w:pPr>
              <w:pStyle w:val="Tekstpodstawowy"/>
              <w:jc w:val="left"/>
              <w:rPr>
                <w:rFonts w:asciiTheme="minorHAnsi" w:hAnsiTheme="minorHAnsi" w:cstheme="minorHAnsi"/>
                <w:b/>
                <w:bCs/>
                <w:i/>
                <w:sz w:val="20"/>
              </w:rPr>
            </w:pPr>
          </w:p>
        </w:tc>
      </w:tr>
      <w:tr w:rsidR="005C31A8" w:rsidRPr="00CC3541" w14:paraId="1A58B85E" w14:textId="77777777" w:rsidTr="005C31A8">
        <w:tc>
          <w:tcPr>
            <w:tcW w:w="1742" w:type="dxa"/>
            <w:shd w:val="clear" w:color="auto" w:fill="D9D9D9" w:themeFill="background1" w:themeFillShade="D9"/>
            <w:vAlign w:val="bottom"/>
          </w:tcPr>
          <w:p w14:paraId="7F2884F7" w14:textId="7F0A7825" w:rsidR="005C31A8" w:rsidRPr="003154C3" w:rsidRDefault="005C31A8" w:rsidP="005C31A8">
            <w:pPr>
              <w:pStyle w:val="Tekstpodstawowy"/>
              <w:jc w:val="center"/>
              <w:rPr>
                <w:rFonts w:asciiTheme="minorHAnsi" w:hAnsiTheme="minorHAnsi" w:cstheme="minorHAnsi"/>
                <w:b/>
                <w:bCs/>
                <w:iCs/>
                <w:sz w:val="20"/>
              </w:rPr>
            </w:pPr>
            <w:r>
              <w:rPr>
                <w:rFonts w:asciiTheme="minorHAnsi" w:hAnsiTheme="minorHAnsi" w:cstheme="minorHAnsi"/>
                <w:color w:val="000000"/>
                <w:sz w:val="20"/>
              </w:rPr>
              <w:t>II</w:t>
            </w:r>
          </w:p>
        </w:tc>
        <w:tc>
          <w:tcPr>
            <w:tcW w:w="7856" w:type="dxa"/>
            <w:shd w:val="clear" w:color="auto" w:fill="D9D9D9" w:themeFill="background1" w:themeFillShade="D9"/>
            <w:vAlign w:val="center"/>
          </w:tcPr>
          <w:p w14:paraId="5081ED4B" w14:textId="7372599C"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b/>
                <w:bCs/>
                <w:sz w:val="20"/>
              </w:rPr>
              <w:t xml:space="preserve">Kardiomonitor modułowy min. 19” z modułem transportowym – </w:t>
            </w:r>
            <w:r>
              <w:rPr>
                <w:rFonts w:asciiTheme="minorHAnsi" w:hAnsiTheme="minorHAnsi" w:cstheme="minorHAnsi"/>
                <w:b/>
                <w:bCs/>
                <w:sz w:val="20"/>
              </w:rPr>
              <w:t>9</w:t>
            </w:r>
            <w:r w:rsidRPr="005C31A8">
              <w:rPr>
                <w:rFonts w:asciiTheme="minorHAnsi" w:hAnsiTheme="minorHAnsi" w:cstheme="minorHAnsi"/>
                <w:b/>
                <w:bCs/>
                <w:sz w:val="20"/>
              </w:rPr>
              <w:t xml:space="preserve"> szt.</w:t>
            </w:r>
          </w:p>
        </w:tc>
        <w:tc>
          <w:tcPr>
            <w:tcW w:w="3012" w:type="dxa"/>
            <w:shd w:val="clear" w:color="auto" w:fill="D9D9D9" w:themeFill="background1" w:themeFillShade="D9"/>
            <w:vAlign w:val="center"/>
          </w:tcPr>
          <w:p w14:paraId="23792FF0" w14:textId="07064A63" w:rsidR="005C31A8" w:rsidRPr="00CC3541" w:rsidRDefault="005C31A8" w:rsidP="005C31A8">
            <w:pPr>
              <w:pStyle w:val="Tekstpodstawowy"/>
              <w:jc w:val="center"/>
              <w:rPr>
                <w:rFonts w:asciiTheme="minorHAnsi" w:hAnsiTheme="minorHAnsi" w:cstheme="minorHAnsi"/>
                <w:b/>
                <w:bCs/>
                <w:i/>
                <w:sz w:val="20"/>
              </w:rPr>
            </w:pPr>
          </w:p>
        </w:tc>
        <w:tc>
          <w:tcPr>
            <w:tcW w:w="2768" w:type="dxa"/>
            <w:shd w:val="clear" w:color="auto" w:fill="D9D9D9" w:themeFill="background1" w:themeFillShade="D9"/>
          </w:tcPr>
          <w:p w14:paraId="7B30CDEB" w14:textId="77777777" w:rsidR="005C31A8" w:rsidRPr="00CC3541" w:rsidRDefault="005C31A8" w:rsidP="005C31A8">
            <w:pPr>
              <w:pStyle w:val="Tekstpodstawowy"/>
              <w:jc w:val="left"/>
              <w:rPr>
                <w:rFonts w:asciiTheme="minorHAnsi" w:hAnsiTheme="minorHAnsi" w:cstheme="minorHAnsi"/>
                <w:iCs/>
                <w:sz w:val="20"/>
              </w:rPr>
            </w:pPr>
          </w:p>
        </w:tc>
      </w:tr>
      <w:tr w:rsidR="005C31A8" w:rsidRPr="00CC3541" w14:paraId="45E59F22" w14:textId="77777777" w:rsidTr="005C31A8">
        <w:tc>
          <w:tcPr>
            <w:tcW w:w="1742" w:type="dxa"/>
            <w:shd w:val="clear" w:color="auto" w:fill="auto"/>
            <w:vAlign w:val="center"/>
          </w:tcPr>
          <w:p w14:paraId="77270991" w14:textId="4BD7D3C7"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2FA7069F" w14:textId="79B71A0D"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Stanowisko monitorowania zainstalowane składające się z:</w:t>
            </w:r>
            <w:r w:rsidRPr="005C31A8">
              <w:rPr>
                <w:rFonts w:asciiTheme="minorHAnsi" w:hAnsiTheme="minorHAnsi" w:cstheme="minorHAnsi"/>
                <w:sz w:val="20"/>
              </w:rPr>
              <w:br/>
            </w:r>
            <w:r w:rsidRPr="005C31A8">
              <w:rPr>
                <w:rFonts w:asciiTheme="minorHAnsi" w:hAnsiTheme="minorHAnsi" w:cstheme="minorHAnsi"/>
                <w:b/>
                <w:bCs/>
                <w:sz w:val="20"/>
              </w:rPr>
              <w:t xml:space="preserve">- jednostki głównej kardiomonitora </w:t>
            </w:r>
            <w:r w:rsidRPr="005C31A8">
              <w:rPr>
                <w:rFonts w:asciiTheme="minorHAnsi" w:hAnsiTheme="minorHAnsi" w:cstheme="minorHAnsi"/>
                <w:b/>
                <w:bCs/>
                <w:sz w:val="20"/>
              </w:rPr>
              <w:br/>
              <w:t>-odłączanego</w:t>
            </w:r>
            <w:r>
              <w:rPr>
                <w:rFonts w:asciiTheme="minorHAnsi" w:hAnsiTheme="minorHAnsi" w:cstheme="minorHAnsi"/>
                <w:b/>
                <w:bCs/>
                <w:sz w:val="20"/>
              </w:rPr>
              <w:t xml:space="preserve"> </w:t>
            </w:r>
            <w:r w:rsidRPr="005C31A8">
              <w:rPr>
                <w:rFonts w:asciiTheme="minorHAnsi" w:hAnsiTheme="minorHAnsi" w:cstheme="minorHAnsi"/>
                <w:b/>
                <w:bCs/>
                <w:sz w:val="20"/>
              </w:rPr>
              <w:t>modułu</w:t>
            </w:r>
            <w:r>
              <w:rPr>
                <w:rFonts w:asciiTheme="minorHAnsi" w:hAnsiTheme="minorHAnsi" w:cstheme="minorHAnsi"/>
                <w:b/>
                <w:bCs/>
                <w:sz w:val="20"/>
              </w:rPr>
              <w:t xml:space="preserve"> </w:t>
            </w:r>
            <w:r w:rsidRPr="005C31A8">
              <w:rPr>
                <w:rFonts w:asciiTheme="minorHAnsi" w:hAnsiTheme="minorHAnsi" w:cstheme="minorHAnsi"/>
                <w:b/>
                <w:bCs/>
                <w:sz w:val="20"/>
              </w:rPr>
              <w:t>transportowego</w:t>
            </w:r>
            <w:r w:rsidRPr="005C31A8">
              <w:rPr>
                <w:rFonts w:asciiTheme="minorHAnsi" w:hAnsiTheme="minorHAnsi" w:cstheme="minorHAnsi"/>
                <w:sz w:val="20"/>
              </w:rPr>
              <w:t xml:space="preserve"> </w:t>
            </w:r>
            <w:r w:rsidRPr="005C31A8">
              <w:rPr>
                <w:rFonts w:asciiTheme="minorHAnsi" w:hAnsiTheme="minorHAnsi" w:cstheme="minorHAnsi"/>
                <w:sz w:val="20"/>
              </w:rPr>
              <w:br/>
              <w:t>Moduły pomiarowe jedno oraz wieloparametrowe z możliwością zamiennego wykorzystania we wszystkich opisywanych kardiomonitorach</w:t>
            </w:r>
            <w:r>
              <w:rPr>
                <w:rFonts w:asciiTheme="minorHAnsi" w:hAnsiTheme="minorHAnsi" w:cstheme="minorHAnsi"/>
                <w:sz w:val="20"/>
              </w:rPr>
              <w:t xml:space="preserve">. </w:t>
            </w:r>
            <w:r w:rsidRPr="005C31A8">
              <w:rPr>
                <w:rFonts w:asciiTheme="minorHAnsi" w:hAnsiTheme="minorHAnsi" w:cstheme="minorHAnsi"/>
                <w:sz w:val="20"/>
              </w:rPr>
              <w:t>Wszystkie elementy muszą spełniać</w:t>
            </w:r>
            <w:r>
              <w:rPr>
                <w:rFonts w:asciiTheme="minorHAnsi" w:hAnsiTheme="minorHAnsi" w:cstheme="minorHAnsi"/>
                <w:sz w:val="20"/>
              </w:rPr>
              <w:t xml:space="preserve"> </w:t>
            </w:r>
            <w:r w:rsidRPr="005C31A8">
              <w:rPr>
                <w:rFonts w:asciiTheme="minorHAnsi" w:hAnsiTheme="minorHAnsi" w:cstheme="minorHAnsi"/>
                <w:sz w:val="20"/>
              </w:rPr>
              <w:t>wymagania dla urządzeń medycznych.</w:t>
            </w:r>
            <w:r>
              <w:rPr>
                <w:rFonts w:asciiTheme="minorHAnsi" w:hAnsiTheme="minorHAnsi" w:cstheme="minorHAnsi"/>
                <w:sz w:val="20"/>
              </w:rPr>
              <w:t xml:space="preserve"> </w:t>
            </w:r>
            <w:r w:rsidRPr="005C31A8">
              <w:rPr>
                <w:rFonts w:asciiTheme="minorHAnsi" w:hAnsiTheme="minorHAnsi" w:cstheme="minorHAnsi"/>
                <w:sz w:val="20"/>
              </w:rPr>
              <w:t xml:space="preserve">Zewnętrzna kieszeń umożliwiająca podłączenie min. 4 modułów pomiarowych. </w:t>
            </w:r>
          </w:p>
        </w:tc>
        <w:tc>
          <w:tcPr>
            <w:tcW w:w="3012" w:type="dxa"/>
            <w:shd w:val="clear" w:color="auto" w:fill="auto"/>
            <w:vAlign w:val="center"/>
          </w:tcPr>
          <w:p w14:paraId="35B5E0D9" w14:textId="6DF65562"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1D7FAB91"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DE8FFA8" w14:textId="77777777" w:rsidTr="005C31A8">
        <w:tc>
          <w:tcPr>
            <w:tcW w:w="1742" w:type="dxa"/>
            <w:shd w:val="clear" w:color="auto" w:fill="auto"/>
            <w:vAlign w:val="center"/>
          </w:tcPr>
          <w:p w14:paraId="1516C3CE" w14:textId="1E3675C2" w:rsidR="005C31A8" w:rsidRPr="007C6563" w:rsidRDefault="005C31A8" w:rsidP="005C31A8">
            <w:pPr>
              <w:pStyle w:val="Tekstpodstawowy"/>
              <w:jc w:val="center"/>
              <w:rPr>
                <w:rFonts w:asciiTheme="minorHAnsi" w:hAnsiTheme="minorHAnsi" w:cstheme="minorHAnsi"/>
                <w:b/>
                <w:bCs/>
                <w:iCs/>
                <w:sz w:val="20"/>
                <w:highlight w:val="yellow"/>
              </w:rPr>
            </w:pPr>
          </w:p>
        </w:tc>
        <w:tc>
          <w:tcPr>
            <w:tcW w:w="7856" w:type="dxa"/>
            <w:shd w:val="clear" w:color="auto" w:fill="auto"/>
            <w:vAlign w:val="center"/>
          </w:tcPr>
          <w:p w14:paraId="25627142" w14:textId="0D917D78" w:rsidR="005C31A8" w:rsidRPr="005C31A8" w:rsidRDefault="005C31A8" w:rsidP="005C31A8">
            <w:pPr>
              <w:pStyle w:val="Tekstpodstawowy"/>
              <w:rPr>
                <w:rFonts w:asciiTheme="minorHAnsi" w:hAnsiTheme="minorHAnsi" w:cstheme="minorHAnsi"/>
                <w:b/>
                <w:bCs/>
                <w:i/>
                <w:sz w:val="20"/>
                <w:highlight w:val="yellow"/>
              </w:rPr>
            </w:pPr>
            <w:r w:rsidRPr="005C31A8">
              <w:rPr>
                <w:rFonts w:asciiTheme="minorHAnsi" w:hAnsiTheme="minorHAnsi" w:cstheme="minorHAnsi"/>
                <w:sz w:val="20"/>
              </w:rPr>
              <w:t>Obudowa kardiomonitora łatwa do czyszczenia, kroploszczelna, odporna na środki dezynfekcyjne.</w:t>
            </w:r>
          </w:p>
        </w:tc>
        <w:tc>
          <w:tcPr>
            <w:tcW w:w="3012" w:type="dxa"/>
            <w:shd w:val="clear" w:color="auto" w:fill="auto"/>
            <w:vAlign w:val="center"/>
          </w:tcPr>
          <w:p w14:paraId="4C9FA606" w14:textId="3DAC5513" w:rsidR="005C31A8" w:rsidRPr="005C31A8" w:rsidRDefault="005C31A8" w:rsidP="005C31A8">
            <w:pPr>
              <w:pStyle w:val="Tekstpodstawowy"/>
              <w:jc w:val="center"/>
              <w:rPr>
                <w:rFonts w:asciiTheme="minorHAnsi" w:hAnsiTheme="minorHAnsi" w:cstheme="minorHAnsi"/>
                <w:b/>
                <w:bCs/>
                <w:i/>
                <w:sz w:val="20"/>
                <w:highlight w:val="yellow"/>
              </w:rPr>
            </w:pPr>
            <w:r w:rsidRPr="005C31A8">
              <w:rPr>
                <w:rFonts w:asciiTheme="minorHAnsi" w:hAnsiTheme="minorHAnsi" w:cstheme="minorHAnsi"/>
                <w:sz w:val="20"/>
              </w:rPr>
              <w:t>TAK</w:t>
            </w:r>
          </w:p>
        </w:tc>
        <w:tc>
          <w:tcPr>
            <w:tcW w:w="2768" w:type="dxa"/>
            <w:shd w:val="clear" w:color="auto" w:fill="auto"/>
          </w:tcPr>
          <w:p w14:paraId="23B12519"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D11A64E" w14:textId="77777777" w:rsidTr="005C31A8">
        <w:tc>
          <w:tcPr>
            <w:tcW w:w="1742" w:type="dxa"/>
            <w:shd w:val="clear" w:color="auto" w:fill="auto"/>
            <w:vAlign w:val="center"/>
          </w:tcPr>
          <w:p w14:paraId="4EA4A620" w14:textId="1748A13B"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1D85E827" w14:textId="2D284760"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Możliwość wykorzystania odłączanego elementu kardiomonitora jako monitora transportowego z funkcjami pomiaru i alarmów co najmniej EKG, oddechu, tętna, saturacji i ciśnienia krwi nieinwazyjnego oraz inwazyjnego.</w:t>
            </w:r>
          </w:p>
        </w:tc>
        <w:tc>
          <w:tcPr>
            <w:tcW w:w="3012" w:type="dxa"/>
            <w:shd w:val="clear" w:color="auto" w:fill="auto"/>
            <w:vAlign w:val="center"/>
          </w:tcPr>
          <w:p w14:paraId="3527E16E" w14:textId="25DDCD3C"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56001AD1"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348BECB" w14:textId="77777777" w:rsidTr="005C31A8">
        <w:tc>
          <w:tcPr>
            <w:tcW w:w="1742" w:type="dxa"/>
            <w:shd w:val="clear" w:color="auto" w:fill="auto"/>
            <w:vAlign w:val="center"/>
          </w:tcPr>
          <w:p w14:paraId="0925EB23" w14:textId="49174F23"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2AC7EE0B"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Zalety ergonomiczne elementu/modułu transportowego:</w:t>
            </w:r>
          </w:p>
          <w:p w14:paraId="5303E2BA"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jednoczesna obsługa po zadokowaniu razem z kardiomonitorem głównym (np. po drugiej stronie łóżka; pełny dostęp do elementów sterujących i ekranu modułu również po zadokowaniu w kardiomonitorze)</w:t>
            </w:r>
          </w:p>
          <w:p w14:paraId="571DE564"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lastRenderedPageBreak/>
              <w:t xml:space="preserve">- automatyczna rotacja ekranu 90/180 stopni oraz czujnik oświetlania </w:t>
            </w:r>
          </w:p>
          <w:p w14:paraId="0EBA474E" w14:textId="30F615C8"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 wbudowana w moduł ergonomiczna rączka umożliwiająca szybkie wypięcie monitora transportowego ze stanowiska monitorowania.</w:t>
            </w:r>
          </w:p>
        </w:tc>
        <w:tc>
          <w:tcPr>
            <w:tcW w:w="3012" w:type="dxa"/>
            <w:shd w:val="clear" w:color="auto" w:fill="auto"/>
            <w:vAlign w:val="center"/>
          </w:tcPr>
          <w:p w14:paraId="1A029551"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lastRenderedPageBreak/>
              <w:t>TAK/NIE</w:t>
            </w:r>
          </w:p>
          <w:p w14:paraId="70270EFA"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5 pkt</w:t>
            </w:r>
          </w:p>
          <w:p w14:paraId="1B4E278C" w14:textId="257682C2"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Nie – 0 pkt</w:t>
            </w:r>
          </w:p>
        </w:tc>
        <w:tc>
          <w:tcPr>
            <w:tcW w:w="2768" w:type="dxa"/>
            <w:shd w:val="clear" w:color="auto" w:fill="auto"/>
          </w:tcPr>
          <w:p w14:paraId="204FDFC8"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7BE3646" w14:textId="77777777" w:rsidTr="005C31A8">
        <w:tc>
          <w:tcPr>
            <w:tcW w:w="1742" w:type="dxa"/>
            <w:shd w:val="clear" w:color="auto" w:fill="auto"/>
            <w:vAlign w:val="center"/>
          </w:tcPr>
          <w:p w14:paraId="08CC41FF" w14:textId="4E8322B8"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4C5294B8"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Zalety technologiczne elementu/modułu transportowego:</w:t>
            </w:r>
          </w:p>
          <w:p w14:paraId="17203974"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zasilanie akumulatorowe na min. 5 godzin</w:t>
            </w:r>
          </w:p>
          <w:p w14:paraId="4A48CC1D"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wyświetlacz o przekątnej, min. 6’’ z obsługą gestów</w:t>
            </w:r>
          </w:p>
          <w:p w14:paraId="65CB5E7B" w14:textId="56CFFAEB"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odporność modułu transportowego na zabrudzenia, zalanie, wstrząsy, uderzenia, upadki (min. 1 m)</w:t>
            </w:r>
          </w:p>
          <w:p w14:paraId="45F48EBE"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pamięć trendów, pomiarów i alarmów z min. 48 godzin</w:t>
            </w:r>
          </w:p>
          <w:p w14:paraId="4BB1CB93" w14:textId="5214E4BE"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 masa modułu transportowego nie większa niż 1,5 kg.</w:t>
            </w:r>
          </w:p>
        </w:tc>
        <w:tc>
          <w:tcPr>
            <w:tcW w:w="3012" w:type="dxa"/>
            <w:shd w:val="clear" w:color="auto" w:fill="auto"/>
            <w:vAlign w:val="center"/>
          </w:tcPr>
          <w:p w14:paraId="7EDBAEEC" w14:textId="14ECCB69"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4CD2A2D9"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E345F3C" w14:textId="77777777" w:rsidTr="005C31A8">
        <w:tc>
          <w:tcPr>
            <w:tcW w:w="1742" w:type="dxa"/>
            <w:shd w:val="clear" w:color="auto" w:fill="FFFFFF" w:themeFill="background1"/>
            <w:vAlign w:val="center"/>
          </w:tcPr>
          <w:p w14:paraId="6734F44B" w14:textId="5B4434C3"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FFFFFF" w:themeFill="background1"/>
            <w:vAlign w:val="center"/>
          </w:tcPr>
          <w:p w14:paraId="758CCB6B" w14:textId="0AF775C0"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Ekran kolorowy kardiomonitora min. 19” o wysokiej rozdzielczości min. 1900 x 1000 pikseli. Ekran dotykowy pojemnościowy z obsługą gestów.</w:t>
            </w:r>
          </w:p>
        </w:tc>
        <w:tc>
          <w:tcPr>
            <w:tcW w:w="3012" w:type="dxa"/>
            <w:shd w:val="clear" w:color="auto" w:fill="FFFFFF" w:themeFill="background1"/>
            <w:vAlign w:val="center"/>
          </w:tcPr>
          <w:p w14:paraId="3564B079" w14:textId="3CA553C4"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FFFFFF" w:themeFill="background1"/>
          </w:tcPr>
          <w:p w14:paraId="72D2DB4F"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A6D3BCC" w14:textId="77777777" w:rsidTr="005C31A8">
        <w:tc>
          <w:tcPr>
            <w:tcW w:w="1742" w:type="dxa"/>
            <w:shd w:val="clear" w:color="auto" w:fill="auto"/>
            <w:vAlign w:val="center"/>
          </w:tcPr>
          <w:p w14:paraId="5A364C40" w14:textId="2D8B5089"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701809B7" w14:textId="32707525"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Możliwość dopasowania zawartości ekranu do aktualnych potrzeb użytkownika bez udziału serwisu. Możliwość zapisania w pamięci własnych układów ekranu (min. 20) utworzonych przez użytkownika.</w:t>
            </w:r>
          </w:p>
        </w:tc>
        <w:tc>
          <w:tcPr>
            <w:tcW w:w="3012" w:type="dxa"/>
            <w:shd w:val="clear" w:color="auto" w:fill="auto"/>
            <w:vAlign w:val="center"/>
          </w:tcPr>
          <w:p w14:paraId="6539A2D8" w14:textId="1593FF4D"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6F2931E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5E4BCD8" w14:textId="77777777" w:rsidTr="005C31A8">
        <w:tc>
          <w:tcPr>
            <w:tcW w:w="1742" w:type="dxa"/>
            <w:shd w:val="clear" w:color="auto" w:fill="auto"/>
            <w:vAlign w:val="center"/>
          </w:tcPr>
          <w:p w14:paraId="6B9BCDC2" w14:textId="69B5D98E" w:rsidR="005C31A8" w:rsidRPr="007C6563" w:rsidRDefault="005C31A8" w:rsidP="005C31A8">
            <w:pPr>
              <w:pStyle w:val="Tekstpodstawowy"/>
              <w:jc w:val="center"/>
              <w:rPr>
                <w:rFonts w:asciiTheme="minorHAnsi" w:hAnsiTheme="minorHAnsi" w:cstheme="minorHAnsi"/>
                <w:b/>
                <w:bCs/>
                <w:iCs/>
                <w:sz w:val="20"/>
                <w:highlight w:val="yellow"/>
              </w:rPr>
            </w:pPr>
          </w:p>
        </w:tc>
        <w:tc>
          <w:tcPr>
            <w:tcW w:w="7856" w:type="dxa"/>
            <w:shd w:val="clear" w:color="auto" w:fill="auto"/>
            <w:vAlign w:val="center"/>
          </w:tcPr>
          <w:p w14:paraId="2DBD1010" w14:textId="2FD5A03A" w:rsidR="005C31A8" w:rsidRPr="005C31A8" w:rsidRDefault="005C31A8" w:rsidP="005C31A8">
            <w:pPr>
              <w:pStyle w:val="Tekstpodstawowy"/>
              <w:rPr>
                <w:rFonts w:asciiTheme="minorHAnsi" w:hAnsiTheme="minorHAnsi" w:cstheme="minorHAnsi"/>
                <w:b/>
                <w:bCs/>
                <w:i/>
                <w:sz w:val="20"/>
                <w:highlight w:val="yellow"/>
              </w:rPr>
            </w:pPr>
            <w:r w:rsidRPr="005C31A8">
              <w:rPr>
                <w:rFonts w:asciiTheme="minorHAnsi" w:hAnsiTheme="minorHAnsi" w:cstheme="minorHAnsi"/>
                <w:sz w:val="20"/>
              </w:rPr>
              <w:t>Regulacja jasności ekranu, min. 10 poziomów; wbudowany czujnik oświetlenia automatycznie dopasowujący poziom jasności względem warunków otoczenia.</w:t>
            </w:r>
          </w:p>
        </w:tc>
        <w:tc>
          <w:tcPr>
            <w:tcW w:w="3012" w:type="dxa"/>
            <w:shd w:val="clear" w:color="auto" w:fill="auto"/>
            <w:vAlign w:val="center"/>
          </w:tcPr>
          <w:p w14:paraId="491DF667" w14:textId="49317A06" w:rsidR="005C31A8" w:rsidRPr="005C31A8" w:rsidRDefault="005C31A8" w:rsidP="005C31A8">
            <w:pPr>
              <w:pStyle w:val="Tekstpodstawowy"/>
              <w:jc w:val="center"/>
              <w:rPr>
                <w:rFonts w:asciiTheme="minorHAnsi" w:hAnsiTheme="minorHAnsi" w:cstheme="minorHAnsi"/>
                <w:b/>
                <w:bCs/>
                <w:i/>
                <w:sz w:val="20"/>
                <w:highlight w:val="yellow"/>
              </w:rPr>
            </w:pPr>
            <w:r w:rsidRPr="005C31A8">
              <w:rPr>
                <w:rFonts w:asciiTheme="minorHAnsi" w:hAnsiTheme="minorHAnsi" w:cstheme="minorHAnsi"/>
                <w:color w:val="000000"/>
                <w:sz w:val="20"/>
              </w:rPr>
              <w:t>TAK, podać</w:t>
            </w:r>
          </w:p>
        </w:tc>
        <w:tc>
          <w:tcPr>
            <w:tcW w:w="2768" w:type="dxa"/>
            <w:shd w:val="clear" w:color="auto" w:fill="auto"/>
          </w:tcPr>
          <w:p w14:paraId="1D8296E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3195C04" w14:textId="77777777" w:rsidTr="005C31A8">
        <w:tc>
          <w:tcPr>
            <w:tcW w:w="1742" w:type="dxa"/>
            <w:shd w:val="clear" w:color="auto" w:fill="auto"/>
            <w:vAlign w:val="center"/>
          </w:tcPr>
          <w:p w14:paraId="232D6D88" w14:textId="0A230F40"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20CFC3B0" w14:textId="4A3915D8"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Dostęp do wszystkich funkcji monitora za pomocą ekranu dotykowego i menu w języku polskim (brak pokrętła).</w:t>
            </w:r>
          </w:p>
        </w:tc>
        <w:tc>
          <w:tcPr>
            <w:tcW w:w="3012" w:type="dxa"/>
            <w:shd w:val="clear" w:color="auto" w:fill="auto"/>
            <w:vAlign w:val="center"/>
          </w:tcPr>
          <w:p w14:paraId="5D930323" w14:textId="4916E720"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6BEC4B8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78B5EFE5" w14:textId="77777777" w:rsidTr="005C31A8">
        <w:tc>
          <w:tcPr>
            <w:tcW w:w="1742" w:type="dxa"/>
            <w:shd w:val="clear" w:color="auto" w:fill="auto"/>
            <w:vAlign w:val="center"/>
          </w:tcPr>
          <w:p w14:paraId="5EEC02A8" w14:textId="0EADA419"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779C34A8"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xml:space="preserve">Zaawansowana funkcja drukowania różnego rodzaju raportów stanu pacjenta. Możliwość definiowania szablonów raportów z wydrukami ręcznymi oraz automatycznymi w odstępach czasu zdefiniowanych przez użytkownika. Możliwość ustawienia dedykowanych przycisków do szybkiego drukowania. Dostępne raporty muszą zawierać: </w:t>
            </w:r>
          </w:p>
          <w:p w14:paraId="3E9D1B0D"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przeglądu zdarzeń i epizodów</w:t>
            </w:r>
          </w:p>
          <w:p w14:paraId="2C238BAE"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parametrów życiowych</w:t>
            </w:r>
          </w:p>
          <w:p w14:paraId="6AB25066"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trendów graficznych</w:t>
            </w:r>
          </w:p>
          <w:p w14:paraId="55C3501D"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obliczeń</w:t>
            </w:r>
          </w:p>
          <w:p w14:paraId="40E55A6D"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kolumnowe</w:t>
            </w:r>
          </w:p>
          <w:p w14:paraId="39CAE509"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z aplikacji ST Map</w:t>
            </w:r>
          </w:p>
          <w:p w14:paraId="37C15127"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z pomiarów odstępu QT</w:t>
            </w:r>
          </w:p>
          <w:p w14:paraId="0E531891"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Raporty przekroczenia progów alarmowych</w:t>
            </w:r>
          </w:p>
          <w:p w14:paraId="27A870C5" w14:textId="24E22C86" w:rsidR="005C31A8" w:rsidRPr="005C31A8" w:rsidRDefault="005C31A8" w:rsidP="005C31A8">
            <w:pPr>
              <w:pStyle w:val="Teksttreci0"/>
              <w:shd w:val="clear" w:color="auto" w:fill="auto"/>
              <w:spacing w:line="240" w:lineRule="auto"/>
              <w:rPr>
                <w:rFonts w:cstheme="minorHAnsi"/>
                <w:sz w:val="20"/>
                <w:szCs w:val="20"/>
              </w:rPr>
            </w:pPr>
            <w:r w:rsidRPr="005C31A8">
              <w:rPr>
                <w:rFonts w:cstheme="minorHAnsi"/>
                <w:sz w:val="20"/>
                <w:szCs w:val="20"/>
              </w:rPr>
              <w:t xml:space="preserve">- Raporty wykresów w czasie rzeczywistym. </w:t>
            </w:r>
          </w:p>
        </w:tc>
        <w:tc>
          <w:tcPr>
            <w:tcW w:w="3012" w:type="dxa"/>
            <w:shd w:val="clear" w:color="auto" w:fill="auto"/>
            <w:vAlign w:val="center"/>
          </w:tcPr>
          <w:p w14:paraId="03FB02D2" w14:textId="19097534"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4FA7F02E"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F49579E" w14:textId="77777777" w:rsidTr="005C31A8">
        <w:tc>
          <w:tcPr>
            <w:tcW w:w="1742" w:type="dxa"/>
            <w:shd w:val="clear" w:color="auto" w:fill="auto"/>
            <w:vAlign w:val="center"/>
          </w:tcPr>
          <w:p w14:paraId="76C12690" w14:textId="1AE21399"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6AF1649C" w14:textId="76342228"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 xml:space="preserve">Wbudowany klient systemu </w:t>
            </w:r>
            <w:proofErr w:type="spellStart"/>
            <w:r w:rsidRPr="005C31A8">
              <w:rPr>
                <w:rFonts w:asciiTheme="minorHAnsi" w:hAnsiTheme="minorHAnsi" w:cstheme="minorHAnsi"/>
                <w:sz w:val="20"/>
              </w:rPr>
              <w:t>Citrix</w:t>
            </w:r>
            <w:proofErr w:type="spellEnd"/>
            <w:r w:rsidRPr="005C31A8">
              <w:rPr>
                <w:rFonts w:asciiTheme="minorHAnsi" w:hAnsiTheme="minorHAnsi" w:cstheme="minorHAnsi"/>
                <w:sz w:val="20"/>
              </w:rPr>
              <w:t xml:space="preserve"> </w:t>
            </w:r>
            <w:proofErr w:type="spellStart"/>
            <w:r w:rsidRPr="005C31A8">
              <w:rPr>
                <w:rFonts w:asciiTheme="minorHAnsi" w:hAnsiTheme="minorHAnsi" w:cstheme="minorHAnsi"/>
                <w:sz w:val="20"/>
              </w:rPr>
              <w:t>Xen</w:t>
            </w:r>
            <w:proofErr w:type="spellEnd"/>
            <w:r w:rsidRPr="005C31A8">
              <w:rPr>
                <w:rFonts w:asciiTheme="minorHAnsi" w:hAnsiTheme="minorHAnsi" w:cstheme="minorHAnsi"/>
                <w:sz w:val="20"/>
              </w:rPr>
              <w:t>.</w:t>
            </w:r>
          </w:p>
        </w:tc>
        <w:tc>
          <w:tcPr>
            <w:tcW w:w="3012" w:type="dxa"/>
            <w:shd w:val="clear" w:color="auto" w:fill="auto"/>
            <w:vAlign w:val="center"/>
          </w:tcPr>
          <w:p w14:paraId="68FAA203"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TAK/NIE</w:t>
            </w:r>
          </w:p>
          <w:p w14:paraId="72264187"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3 pkt</w:t>
            </w:r>
          </w:p>
          <w:p w14:paraId="49ADB014" w14:textId="40ACBC39"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Nie – 0 pkt</w:t>
            </w:r>
          </w:p>
        </w:tc>
        <w:tc>
          <w:tcPr>
            <w:tcW w:w="2768" w:type="dxa"/>
            <w:shd w:val="clear" w:color="auto" w:fill="auto"/>
          </w:tcPr>
          <w:p w14:paraId="2748CF6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72AA8DC" w14:textId="77777777" w:rsidTr="005C31A8">
        <w:tc>
          <w:tcPr>
            <w:tcW w:w="1742" w:type="dxa"/>
            <w:shd w:val="clear" w:color="auto" w:fill="auto"/>
            <w:vAlign w:val="center"/>
          </w:tcPr>
          <w:p w14:paraId="2BB320E4" w14:textId="3DBDAB00"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1201922A" w14:textId="6F34EAE2"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Możliwość uruchamiania aplikacji webowych www bez konieczności instalowania dodatkowego oprogramowania (wbudowany silnik renderujący HTML5).</w:t>
            </w:r>
          </w:p>
        </w:tc>
        <w:tc>
          <w:tcPr>
            <w:tcW w:w="3012" w:type="dxa"/>
            <w:shd w:val="clear" w:color="auto" w:fill="auto"/>
            <w:vAlign w:val="center"/>
          </w:tcPr>
          <w:p w14:paraId="673B83D6"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TAK/NIE</w:t>
            </w:r>
          </w:p>
          <w:p w14:paraId="713D9F47"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3 pkt</w:t>
            </w:r>
          </w:p>
          <w:p w14:paraId="615105BC" w14:textId="64144E44"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Nie – 0 pkt</w:t>
            </w:r>
          </w:p>
        </w:tc>
        <w:tc>
          <w:tcPr>
            <w:tcW w:w="2768" w:type="dxa"/>
            <w:shd w:val="clear" w:color="auto" w:fill="auto"/>
          </w:tcPr>
          <w:p w14:paraId="7C55EB2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D75BB46" w14:textId="77777777" w:rsidTr="005C31A8">
        <w:tc>
          <w:tcPr>
            <w:tcW w:w="1742" w:type="dxa"/>
            <w:shd w:val="clear" w:color="auto" w:fill="auto"/>
            <w:vAlign w:val="center"/>
          </w:tcPr>
          <w:p w14:paraId="0A9CBF3D" w14:textId="7A0B810F"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3A614D4B" w14:textId="411E7D8F"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 xml:space="preserve">Wbudowane min. 4 porty USB, wyjście sygnału na zewnętrzny monitor złączem z szyfrowanym sygnałem, złącze Ethernet, port RS232 oraz gniazdo synchronizacji sygnału EKG. </w:t>
            </w:r>
          </w:p>
        </w:tc>
        <w:tc>
          <w:tcPr>
            <w:tcW w:w="3012" w:type="dxa"/>
            <w:shd w:val="clear" w:color="auto" w:fill="auto"/>
            <w:vAlign w:val="center"/>
          </w:tcPr>
          <w:p w14:paraId="41DF10AF" w14:textId="73032B52"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258FECA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0B6706A" w14:textId="77777777" w:rsidTr="005C31A8">
        <w:tc>
          <w:tcPr>
            <w:tcW w:w="1742" w:type="dxa"/>
            <w:shd w:val="clear" w:color="auto" w:fill="FFFFFF" w:themeFill="background1"/>
            <w:vAlign w:val="center"/>
          </w:tcPr>
          <w:p w14:paraId="489E3DA7" w14:textId="5BA1D715"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FFFFFF" w:themeFill="background1"/>
            <w:vAlign w:val="center"/>
          </w:tcPr>
          <w:p w14:paraId="28BD2670" w14:textId="006F5C76"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Zalety systemu monitorowania pod kątem cyberbezpiecz</w:t>
            </w:r>
            <w:r>
              <w:rPr>
                <w:rFonts w:asciiTheme="minorHAnsi" w:hAnsiTheme="minorHAnsi" w:cstheme="minorHAnsi"/>
                <w:sz w:val="20"/>
                <w:szCs w:val="20"/>
              </w:rPr>
              <w:t>e</w:t>
            </w:r>
            <w:r w:rsidRPr="005C31A8">
              <w:rPr>
                <w:rFonts w:asciiTheme="minorHAnsi" w:hAnsiTheme="minorHAnsi" w:cstheme="minorHAnsi"/>
                <w:sz w:val="20"/>
                <w:szCs w:val="20"/>
              </w:rPr>
              <w:t xml:space="preserve">ństwa: </w:t>
            </w:r>
          </w:p>
          <w:p w14:paraId="7B78583F"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szyfrowanie transmisji danych raportów z wykorzystaniem uwierzytelniania węzłów</w:t>
            </w:r>
          </w:p>
          <w:p w14:paraId="52DE669E"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szyfrowanie zapisywanych w pamięci wrażliwych danych pacjentów</w:t>
            </w:r>
          </w:p>
          <w:p w14:paraId="79B0059C" w14:textId="39138D72"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 xml:space="preserve">- pełne (end-to-end) szyfrowanie danych przesyłanych pomiędzy monitorem pacjenta a systemem centralnego monitorowania oraz opcjonalnym zewnętrznym wyświetlaczem. </w:t>
            </w:r>
          </w:p>
        </w:tc>
        <w:tc>
          <w:tcPr>
            <w:tcW w:w="3012" w:type="dxa"/>
            <w:shd w:val="clear" w:color="auto" w:fill="FFFFFF" w:themeFill="background1"/>
            <w:vAlign w:val="center"/>
          </w:tcPr>
          <w:p w14:paraId="584ABE23" w14:textId="77777777"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TAK/NIE</w:t>
            </w:r>
          </w:p>
          <w:p w14:paraId="466D38B4"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5 pkt</w:t>
            </w:r>
          </w:p>
          <w:p w14:paraId="70D4189F" w14:textId="6725321F"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Nie – 0 pkt</w:t>
            </w:r>
          </w:p>
        </w:tc>
        <w:tc>
          <w:tcPr>
            <w:tcW w:w="2768" w:type="dxa"/>
            <w:shd w:val="clear" w:color="auto" w:fill="FFFFFF" w:themeFill="background1"/>
          </w:tcPr>
          <w:p w14:paraId="13C17BC8"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A4BA1F7" w14:textId="77777777" w:rsidTr="005C31A8">
        <w:tc>
          <w:tcPr>
            <w:tcW w:w="1742" w:type="dxa"/>
            <w:shd w:val="clear" w:color="auto" w:fill="auto"/>
            <w:vAlign w:val="center"/>
          </w:tcPr>
          <w:p w14:paraId="7203544B" w14:textId="1900BC36"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04C5AD86" w14:textId="78BAFE67"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 xml:space="preserve">Wbudowana komunikacja NFC oraz </w:t>
            </w:r>
            <w:proofErr w:type="spellStart"/>
            <w:r w:rsidRPr="005C31A8">
              <w:rPr>
                <w:rFonts w:asciiTheme="minorHAnsi" w:hAnsiTheme="minorHAnsi" w:cstheme="minorHAnsi"/>
                <w:sz w:val="20"/>
              </w:rPr>
              <w:t>RFiD</w:t>
            </w:r>
            <w:proofErr w:type="spellEnd"/>
            <w:r w:rsidRPr="005C31A8">
              <w:rPr>
                <w:rFonts w:asciiTheme="minorHAnsi" w:hAnsiTheme="minorHAnsi" w:cstheme="minorHAnsi"/>
                <w:sz w:val="20"/>
              </w:rPr>
              <w:t>.</w:t>
            </w:r>
          </w:p>
        </w:tc>
        <w:tc>
          <w:tcPr>
            <w:tcW w:w="3012" w:type="dxa"/>
            <w:shd w:val="clear" w:color="auto" w:fill="auto"/>
            <w:vAlign w:val="center"/>
          </w:tcPr>
          <w:p w14:paraId="085E5A19"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3 pkt</w:t>
            </w:r>
          </w:p>
          <w:p w14:paraId="2E9E9877" w14:textId="26B31F17"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Nie – 0 pkt</w:t>
            </w:r>
          </w:p>
        </w:tc>
        <w:tc>
          <w:tcPr>
            <w:tcW w:w="2768" w:type="dxa"/>
            <w:shd w:val="clear" w:color="auto" w:fill="auto"/>
          </w:tcPr>
          <w:p w14:paraId="154BDC3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99A225A" w14:textId="77777777" w:rsidTr="005C31A8">
        <w:tc>
          <w:tcPr>
            <w:tcW w:w="1742" w:type="dxa"/>
            <w:shd w:val="clear" w:color="auto" w:fill="auto"/>
            <w:vAlign w:val="center"/>
          </w:tcPr>
          <w:p w14:paraId="629149DC" w14:textId="40BC7D10"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7ACB618C" w14:textId="7156CB97"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Alarmy dźwiękowe i wizualne wszystkich monitorowanych parametrów oraz zaburzeń rytmu serca.</w:t>
            </w:r>
          </w:p>
        </w:tc>
        <w:tc>
          <w:tcPr>
            <w:tcW w:w="3012" w:type="dxa"/>
            <w:shd w:val="clear" w:color="auto" w:fill="auto"/>
            <w:vAlign w:val="center"/>
          </w:tcPr>
          <w:p w14:paraId="676A35E3" w14:textId="4316BD5F"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70A2336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7984EFF" w14:textId="77777777" w:rsidTr="005C31A8">
        <w:tc>
          <w:tcPr>
            <w:tcW w:w="1742" w:type="dxa"/>
            <w:shd w:val="clear" w:color="auto" w:fill="auto"/>
            <w:vAlign w:val="center"/>
          </w:tcPr>
          <w:p w14:paraId="492491F7" w14:textId="5A6BBEAD"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1B007E35" w14:textId="065F8387"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Możliwość zawieszania alarmów dźwiękowych na wybrany okres, min. od 1 do 10 minut oraz na stałe.</w:t>
            </w:r>
          </w:p>
        </w:tc>
        <w:tc>
          <w:tcPr>
            <w:tcW w:w="3012" w:type="dxa"/>
            <w:shd w:val="clear" w:color="auto" w:fill="auto"/>
            <w:vAlign w:val="center"/>
          </w:tcPr>
          <w:p w14:paraId="7CF68A0C" w14:textId="18E12ADB"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191AE38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52EFD9B" w14:textId="77777777" w:rsidTr="005C31A8">
        <w:tc>
          <w:tcPr>
            <w:tcW w:w="1742" w:type="dxa"/>
            <w:shd w:val="clear" w:color="auto" w:fill="auto"/>
            <w:vAlign w:val="center"/>
          </w:tcPr>
          <w:p w14:paraId="691B5E02" w14:textId="1135D92C"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59F2569B" w14:textId="7846917A" w:rsidR="005C31A8" w:rsidRPr="005C31A8" w:rsidRDefault="005C31A8" w:rsidP="005C31A8">
            <w:pPr>
              <w:pStyle w:val="Tekstpodstawowy"/>
              <w:jc w:val="left"/>
              <w:rPr>
                <w:rFonts w:asciiTheme="minorHAnsi" w:hAnsiTheme="minorHAnsi" w:cstheme="minorHAnsi"/>
                <w:b/>
                <w:bCs/>
                <w:iCs/>
                <w:sz w:val="20"/>
              </w:rPr>
            </w:pPr>
            <w:r w:rsidRPr="005C31A8">
              <w:rPr>
                <w:rFonts w:asciiTheme="minorHAnsi" w:hAnsiTheme="minorHAnsi" w:cstheme="minorHAnsi"/>
                <w:sz w:val="20"/>
              </w:rPr>
              <w:t>Alarmy ustawiane ręcznie oraz automatycznie (na podstawie aktualnego stanu pacjenta) z możliwością regulacji progów w jednym wspólnym menu.</w:t>
            </w:r>
          </w:p>
        </w:tc>
        <w:tc>
          <w:tcPr>
            <w:tcW w:w="3012" w:type="dxa"/>
            <w:shd w:val="clear" w:color="auto" w:fill="auto"/>
            <w:vAlign w:val="center"/>
          </w:tcPr>
          <w:p w14:paraId="40F15705" w14:textId="51FC037E"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05A4251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E108C86" w14:textId="77777777" w:rsidTr="005C31A8">
        <w:tc>
          <w:tcPr>
            <w:tcW w:w="1742" w:type="dxa"/>
            <w:shd w:val="clear" w:color="auto" w:fill="auto"/>
            <w:vAlign w:val="center"/>
          </w:tcPr>
          <w:p w14:paraId="76C3E385" w14:textId="4C1ED370"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53FC58B5" w14:textId="4CAF5FF1"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Regulacja głośności alarmów dźwiękowych z zabezpieczeniem przed całkowitym wyciszeniem, min. 10 progów głośności.</w:t>
            </w:r>
          </w:p>
        </w:tc>
        <w:tc>
          <w:tcPr>
            <w:tcW w:w="3012" w:type="dxa"/>
            <w:shd w:val="clear" w:color="auto" w:fill="auto"/>
            <w:vAlign w:val="center"/>
          </w:tcPr>
          <w:p w14:paraId="12E3E71B" w14:textId="4F44ACEF"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4C25B7FF"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59E55B7" w14:textId="77777777" w:rsidTr="005C31A8">
        <w:tc>
          <w:tcPr>
            <w:tcW w:w="1742" w:type="dxa"/>
            <w:shd w:val="clear" w:color="auto" w:fill="D9D9D9" w:themeFill="background1" w:themeFillShade="D9"/>
            <w:vAlign w:val="center"/>
          </w:tcPr>
          <w:p w14:paraId="3BEBD72F" w14:textId="18AB1C7A"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D9D9D9" w:themeFill="background1" w:themeFillShade="D9"/>
            <w:vAlign w:val="center"/>
          </w:tcPr>
          <w:p w14:paraId="61AAEC21" w14:textId="252F2939"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
                <w:bCs/>
                <w:sz w:val="20"/>
              </w:rPr>
              <w:t>Moduły pomiarowe:</w:t>
            </w:r>
          </w:p>
        </w:tc>
        <w:tc>
          <w:tcPr>
            <w:tcW w:w="3012" w:type="dxa"/>
            <w:shd w:val="clear" w:color="auto" w:fill="D9D9D9" w:themeFill="background1" w:themeFillShade="D9"/>
            <w:vAlign w:val="center"/>
          </w:tcPr>
          <w:p w14:paraId="7531A7D2" w14:textId="4B3AD888" w:rsidR="005C31A8" w:rsidRPr="005C31A8" w:rsidRDefault="005C31A8" w:rsidP="005C31A8">
            <w:pPr>
              <w:pStyle w:val="Tekstpodstawowy"/>
              <w:jc w:val="center"/>
              <w:rPr>
                <w:rFonts w:asciiTheme="minorHAnsi" w:hAnsiTheme="minorHAnsi" w:cstheme="minorHAnsi"/>
                <w:b/>
                <w:bCs/>
                <w:i/>
                <w:sz w:val="20"/>
              </w:rPr>
            </w:pPr>
          </w:p>
        </w:tc>
        <w:tc>
          <w:tcPr>
            <w:tcW w:w="2768" w:type="dxa"/>
            <w:shd w:val="clear" w:color="auto" w:fill="D9D9D9" w:themeFill="background1" w:themeFillShade="D9"/>
          </w:tcPr>
          <w:p w14:paraId="0D000A78"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6CFAFE9" w14:textId="77777777" w:rsidTr="005C31A8">
        <w:tc>
          <w:tcPr>
            <w:tcW w:w="1742" w:type="dxa"/>
            <w:shd w:val="clear" w:color="auto" w:fill="auto"/>
            <w:vAlign w:val="center"/>
          </w:tcPr>
          <w:p w14:paraId="364B2932" w14:textId="4DB27700"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5A55E385" w14:textId="6635C92D"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
                <w:sz w:val="20"/>
              </w:rPr>
              <w:t>Pomiar EKG</w:t>
            </w:r>
            <w:r w:rsidRPr="005C31A8">
              <w:rPr>
                <w:rFonts w:asciiTheme="minorHAnsi" w:hAnsiTheme="minorHAnsi" w:cstheme="minorHAnsi"/>
                <w:sz w:val="20"/>
              </w:rPr>
              <w:br/>
              <w:t xml:space="preserve">Monitorowanie i jednoczesne wyświetlanie od 1 do 12 </w:t>
            </w:r>
            <w:proofErr w:type="spellStart"/>
            <w:r w:rsidRPr="005C31A8">
              <w:rPr>
                <w:rFonts w:asciiTheme="minorHAnsi" w:hAnsiTheme="minorHAnsi" w:cstheme="minorHAnsi"/>
                <w:sz w:val="20"/>
              </w:rPr>
              <w:t>odprowadzeń</w:t>
            </w:r>
            <w:proofErr w:type="spellEnd"/>
            <w:r w:rsidRPr="005C31A8">
              <w:rPr>
                <w:rFonts w:asciiTheme="minorHAnsi" w:hAnsiTheme="minorHAnsi" w:cstheme="minorHAnsi"/>
                <w:sz w:val="20"/>
              </w:rPr>
              <w:t xml:space="preserve"> EKG dzięki funkcji rekonstrukcji 12 </w:t>
            </w:r>
            <w:proofErr w:type="spellStart"/>
            <w:r w:rsidRPr="005C31A8">
              <w:rPr>
                <w:rFonts w:asciiTheme="minorHAnsi" w:hAnsiTheme="minorHAnsi" w:cstheme="minorHAnsi"/>
                <w:sz w:val="20"/>
              </w:rPr>
              <w:t>odprowadzeń</w:t>
            </w:r>
            <w:proofErr w:type="spellEnd"/>
            <w:r w:rsidRPr="005C31A8">
              <w:rPr>
                <w:rFonts w:asciiTheme="minorHAnsi" w:hAnsiTheme="minorHAnsi" w:cstheme="minorHAnsi"/>
                <w:sz w:val="20"/>
              </w:rPr>
              <w:t xml:space="preserve"> EKG z 5 i 6 elektrod EKG; pomiar HR w zakresie min. 15-350 /min. z dokładnością +/-1%.</w:t>
            </w:r>
          </w:p>
        </w:tc>
        <w:tc>
          <w:tcPr>
            <w:tcW w:w="3012" w:type="dxa"/>
            <w:shd w:val="clear" w:color="auto" w:fill="auto"/>
            <w:vAlign w:val="center"/>
          </w:tcPr>
          <w:p w14:paraId="2C0646F3" w14:textId="49C3452F"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07DCA5C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35A6867" w14:textId="77777777" w:rsidTr="005C31A8">
        <w:tc>
          <w:tcPr>
            <w:tcW w:w="1742" w:type="dxa"/>
            <w:shd w:val="clear" w:color="auto" w:fill="auto"/>
            <w:vAlign w:val="center"/>
          </w:tcPr>
          <w:p w14:paraId="589C4C78" w14:textId="6341E8A6" w:rsidR="005C31A8" w:rsidRPr="003154C3" w:rsidRDefault="005C31A8" w:rsidP="005C31A8">
            <w:pPr>
              <w:pStyle w:val="Tekstpodstawowy"/>
              <w:jc w:val="center"/>
              <w:rPr>
                <w:rFonts w:asciiTheme="minorHAnsi" w:hAnsiTheme="minorHAnsi" w:cstheme="minorHAnsi"/>
                <w:b/>
                <w:bCs/>
                <w:iCs/>
                <w:sz w:val="20"/>
              </w:rPr>
            </w:pPr>
          </w:p>
        </w:tc>
        <w:tc>
          <w:tcPr>
            <w:tcW w:w="7856" w:type="dxa"/>
            <w:shd w:val="clear" w:color="auto" w:fill="auto"/>
            <w:vAlign w:val="center"/>
          </w:tcPr>
          <w:p w14:paraId="6B04019E" w14:textId="44132CF4"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Cs/>
                <w:sz w:val="20"/>
              </w:rPr>
              <w:t xml:space="preserve">Monitor wyposażony w diagnostyczny pomiar 12-odprowadzeniowego EKG z przewodu 10-żyłowego.  </w:t>
            </w:r>
          </w:p>
        </w:tc>
        <w:tc>
          <w:tcPr>
            <w:tcW w:w="3012" w:type="dxa"/>
            <w:shd w:val="clear" w:color="auto" w:fill="auto"/>
            <w:vAlign w:val="center"/>
          </w:tcPr>
          <w:p w14:paraId="13BEFB05" w14:textId="402A506D"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w:t>
            </w:r>
          </w:p>
        </w:tc>
        <w:tc>
          <w:tcPr>
            <w:tcW w:w="2768" w:type="dxa"/>
            <w:shd w:val="clear" w:color="auto" w:fill="auto"/>
          </w:tcPr>
          <w:p w14:paraId="20B0A298"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239D256" w14:textId="77777777" w:rsidTr="005C31A8">
        <w:tc>
          <w:tcPr>
            <w:tcW w:w="1742" w:type="dxa"/>
            <w:shd w:val="clear" w:color="auto" w:fill="auto"/>
            <w:vAlign w:val="center"/>
          </w:tcPr>
          <w:p w14:paraId="2E640053" w14:textId="325C3433" w:rsidR="005C31A8" w:rsidRPr="003154C3" w:rsidRDefault="005C31A8" w:rsidP="005C31A8">
            <w:pPr>
              <w:pStyle w:val="Tekstpodstawowy"/>
              <w:jc w:val="center"/>
              <w:rPr>
                <w:rFonts w:asciiTheme="minorHAnsi" w:hAnsiTheme="minorHAnsi" w:cstheme="minorHAnsi"/>
                <w:b/>
                <w:bCs/>
                <w:i/>
                <w:sz w:val="20"/>
              </w:rPr>
            </w:pPr>
          </w:p>
        </w:tc>
        <w:tc>
          <w:tcPr>
            <w:tcW w:w="7856" w:type="dxa"/>
            <w:shd w:val="clear" w:color="auto" w:fill="auto"/>
            <w:vAlign w:val="center"/>
          </w:tcPr>
          <w:p w14:paraId="4D6D3FE0" w14:textId="62660036"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sz w:val="20"/>
              </w:rPr>
              <w:t xml:space="preserve">Prezentacja odcinka ST/STE w czasie na dwóch wieloosiowych wykresach radarowych (pomiar zależny od płci). Pomiar uniesienia lub obniżenia ST wraz z alarmami. Możliwość ustawienia punktów pomiarowych na odcinku ST i linii izoelektrycznej z możliwością ustawiania odcinka ST względem punktu J. </w:t>
            </w:r>
          </w:p>
        </w:tc>
        <w:tc>
          <w:tcPr>
            <w:tcW w:w="3012" w:type="dxa"/>
            <w:shd w:val="clear" w:color="auto" w:fill="auto"/>
            <w:vAlign w:val="center"/>
          </w:tcPr>
          <w:p w14:paraId="73385867" w14:textId="1EEBF7CA"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53A4541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951F45A" w14:textId="77777777" w:rsidTr="005C31A8">
        <w:trPr>
          <w:trHeight w:val="336"/>
        </w:trPr>
        <w:tc>
          <w:tcPr>
            <w:tcW w:w="1742" w:type="dxa"/>
            <w:shd w:val="clear" w:color="auto" w:fill="auto"/>
            <w:vAlign w:val="center"/>
          </w:tcPr>
          <w:p w14:paraId="5F4715FE" w14:textId="5D8DBBCD"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5238891" w14:textId="0E2C0906"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Monitorowanie odstępu QT/</w:t>
            </w:r>
            <w:proofErr w:type="spellStart"/>
            <w:r w:rsidRPr="005C31A8">
              <w:rPr>
                <w:rFonts w:asciiTheme="minorHAnsi" w:hAnsiTheme="minorHAnsi" w:cstheme="minorHAnsi"/>
                <w:sz w:val="20"/>
              </w:rPr>
              <w:t>QTc</w:t>
            </w:r>
            <w:proofErr w:type="spellEnd"/>
            <w:r w:rsidRPr="005C31A8">
              <w:rPr>
                <w:rFonts w:asciiTheme="minorHAnsi" w:hAnsiTheme="minorHAnsi" w:cstheme="minorHAnsi"/>
                <w:sz w:val="20"/>
              </w:rPr>
              <w:t>, wartości odstępu QT skorygowanego względem częstości akcji serca (</w:t>
            </w:r>
            <w:proofErr w:type="spellStart"/>
            <w:r w:rsidRPr="005C31A8">
              <w:rPr>
                <w:rFonts w:asciiTheme="minorHAnsi" w:hAnsiTheme="minorHAnsi" w:cstheme="minorHAnsi"/>
                <w:sz w:val="20"/>
              </w:rPr>
              <w:t>QTc</w:t>
            </w:r>
            <w:proofErr w:type="spellEnd"/>
            <w:r w:rsidRPr="005C31A8">
              <w:rPr>
                <w:rFonts w:asciiTheme="minorHAnsi" w:hAnsiTheme="minorHAnsi" w:cstheme="minorHAnsi"/>
                <w:sz w:val="20"/>
              </w:rPr>
              <w:t>) oraz wartości ∆</w:t>
            </w:r>
            <w:proofErr w:type="spellStart"/>
            <w:r w:rsidRPr="005C31A8">
              <w:rPr>
                <w:rFonts w:asciiTheme="minorHAnsi" w:hAnsiTheme="minorHAnsi" w:cstheme="minorHAnsi"/>
                <w:sz w:val="20"/>
              </w:rPr>
              <w:t>QTc</w:t>
            </w:r>
            <w:proofErr w:type="spellEnd"/>
            <w:r w:rsidRPr="005C31A8">
              <w:rPr>
                <w:rFonts w:asciiTheme="minorHAnsi" w:hAnsiTheme="minorHAnsi" w:cstheme="minorHAnsi"/>
                <w:sz w:val="20"/>
              </w:rPr>
              <w:t xml:space="preserve">. </w:t>
            </w:r>
          </w:p>
        </w:tc>
        <w:tc>
          <w:tcPr>
            <w:tcW w:w="3012" w:type="dxa"/>
            <w:tcBorders>
              <w:top w:val="single" w:sz="4" w:space="0" w:color="auto"/>
              <w:left w:val="single" w:sz="4" w:space="0" w:color="auto"/>
              <w:bottom w:val="single" w:sz="4" w:space="0" w:color="auto"/>
              <w:right w:val="single" w:sz="4" w:space="0" w:color="auto"/>
            </w:tcBorders>
            <w:vAlign w:val="center"/>
          </w:tcPr>
          <w:p w14:paraId="7F3AED9A" w14:textId="4C7AD66C" w:rsidR="005C31A8" w:rsidRPr="005C31A8" w:rsidRDefault="005C31A8" w:rsidP="005C31A8">
            <w:pPr>
              <w:pStyle w:val="Tekstpodstawowy"/>
              <w:jc w:val="center"/>
              <w:rPr>
                <w:rFonts w:asciiTheme="minorHAnsi" w:hAnsiTheme="minorHAnsi" w:cstheme="minorHAnsi"/>
                <w:b/>
                <w:bCs/>
                <w:sz w:val="20"/>
              </w:rPr>
            </w:pPr>
            <w:r w:rsidRPr="005C31A8">
              <w:rPr>
                <w:rFonts w:asciiTheme="minorHAnsi" w:hAnsiTheme="minorHAnsi" w:cstheme="minorHAnsi"/>
                <w:sz w:val="20"/>
              </w:rPr>
              <w:t>TAK</w:t>
            </w:r>
          </w:p>
        </w:tc>
        <w:tc>
          <w:tcPr>
            <w:tcW w:w="2768" w:type="dxa"/>
            <w:shd w:val="clear" w:color="auto" w:fill="auto"/>
          </w:tcPr>
          <w:p w14:paraId="12BA1F5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2EA7771" w14:textId="77777777" w:rsidTr="005C31A8">
        <w:tc>
          <w:tcPr>
            <w:tcW w:w="1742" w:type="dxa"/>
            <w:shd w:val="clear" w:color="auto" w:fill="auto"/>
            <w:vAlign w:val="center"/>
          </w:tcPr>
          <w:p w14:paraId="2817D1B3" w14:textId="1F80BBC3"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4D491ED" w14:textId="7F8E6C4C"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Analiza i alarmy zaburzeń rytmu, co najmniej 25 rodzajów.</w:t>
            </w:r>
          </w:p>
        </w:tc>
        <w:tc>
          <w:tcPr>
            <w:tcW w:w="3012" w:type="dxa"/>
            <w:tcBorders>
              <w:top w:val="single" w:sz="4" w:space="0" w:color="auto"/>
              <w:left w:val="single" w:sz="4" w:space="0" w:color="auto"/>
              <w:bottom w:val="single" w:sz="4" w:space="0" w:color="auto"/>
              <w:right w:val="single" w:sz="4" w:space="0" w:color="auto"/>
            </w:tcBorders>
            <w:vAlign w:val="center"/>
          </w:tcPr>
          <w:p w14:paraId="59EEF907" w14:textId="73907190"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3FD469C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349B29F" w14:textId="77777777" w:rsidTr="005C31A8">
        <w:tc>
          <w:tcPr>
            <w:tcW w:w="1742" w:type="dxa"/>
            <w:shd w:val="clear" w:color="auto" w:fill="auto"/>
            <w:vAlign w:val="center"/>
          </w:tcPr>
          <w:p w14:paraId="07F511D5" w14:textId="07619E99" w:rsidR="005C31A8" w:rsidRPr="003154C3" w:rsidRDefault="005C31A8" w:rsidP="005C31A8">
            <w:pPr>
              <w:pStyle w:val="Tekstpodstawowy"/>
              <w:jc w:val="center"/>
              <w:rPr>
                <w:rFonts w:asciiTheme="minorHAnsi" w:hAnsiTheme="minorHAnsi" w:cstheme="minorHAnsi"/>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FB9BB72" w14:textId="7E7CAFC6"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 xml:space="preserve">Monitor wyposażony w wizualny schemat rozmieszczenia </w:t>
            </w:r>
            <w:proofErr w:type="spellStart"/>
            <w:r w:rsidRPr="005C31A8">
              <w:rPr>
                <w:rFonts w:asciiTheme="minorHAnsi" w:hAnsiTheme="minorHAnsi" w:cstheme="minorHAnsi"/>
                <w:sz w:val="20"/>
              </w:rPr>
              <w:t>odprowadzeń</w:t>
            </w:r>
            <w:proofErr w:type="spellEnd"/>
            <w:r w:rsidRPr="005C31A8">
              <w:rPr>
                <w:rFonts w:asciiTheme="minorHAnsi" w:hAnsiTheme="minorHAnsi" w:cstheme="minorHAnsi"/>
                <w:sz w:val="20"/>
              </w:rPr>
              <w:t xml:space="preserve"> EKG pomagający personelowi w prawidłowym rozmieszczeniu elektrod dzięki informacji o kontakcie elektrod ze skórą. </w:t>
            </w:r>
          </w:p>
        </w:tc>
        <w:tc>
          <w:tcPr>
            <w:tcW w:w="3012" w:type="dxa"/>
            <w:tcBorders>
              <w:top w:val="single" w:sz="4" w:space="0" w:color="auto"/>
              <w:left w:val="single" w:sz="4" w:space="0" w:color="auto"/>
              <w:bottom w:val="single" w:sz="4" w:space="0" w:color="auto"/>
              <w:right w:val="single" w:sz="4" w:space="0" w:color="auto"/>
            </w:tcBorders>
            <w:vAlign w:val="center"/>
          </w:tcPr>
          <w:p w14:paraId="7358DE8D" w14:textId="3F047826"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w:t>
            </w:r>
          </w:p>
        </w:tc>
        <w:tc>
          <w:tcPr>
            <w:tcW w:w="2768" w:type="dxa"/>
            <w:shd w:val="clear" w:color="auto" w:fill="auto"/>
          </w:tcPr>
          <w:p w14:paraId="335EB4C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35BB13F" w14:textId="77777777" w:rsidTr="005C31A8">
        <w:tc>
          <w:tcPr>
            <w:tcW w:w="1742" w:type="dxa"/>
            <w:shd w:val="clear" w:color="auto" w:fill="FFFFFF" w:themeFill="background1"/>
            <w:vAlign w:val="center"/>
          </w:tcPr>
          <w:p w14:paraId="4D565B6C" w14:textId="29821ABB"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E1A07" w14:textId="67476C52"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
                <w:sz w:val="20"/>
              </w:rPr>
              <w:t>Pomiar oddechów (RESP)</w:t>
            </w:r>
            <w:r w:rsidRPr="005C31A8">
              <w:rPr>
                <w:rFonts w:asciiTheme="minorHAnsi" w:hAnsiTheme="minorHAnsi" w:cstheme="minorHAnsi"/>
                <w:sz w:val="20"/>
              </w:rPr>
              <w:br/>
              <w:t xml:space="preserve">Pomiar impedancyjny liczby oddechów w zakresie min. 0-170 </w:t>
            </w:r>
            <w:proofErr w:type="spellStart"/>
            <w:r w:rsidRPr="005C31A8">
              <w:rPr>
                <w:rFonts w:asciiTheme="minorHAnsi" w:hAnsiTheme="minorHAnsi" w:cstheme="minorHAnsi"/>
                <w:sz w:val="20"/>
              </w:rPr>
              <w:t>odd</w:t>
            </w:r>
            <w:proofErr w:type="spellEnd"/>
            <w:r w:rsidRPr="005C31A8">
              <w:rPr>
                <w:rFonts w:asciiTheme="minorHAnsi" w:hAnsiTheme="minorHAnsi" w:cstheme="minorHAnsi"/>
                <w:sz w:val="20"/>
              </w:rPr>
              <w:t xml:space="preserve">./min. z dokładnością nie gorszą niż +/- 1 </w:t>
            </w:r>
            <w:proofErr w:type="spellStart"/>
            <w:r w:rsidRPr="005C31A8">
              <w:rPr>
                <w:rFonts w:asciiTheme="minorHAnsi" w:hAnsiTheme="minorHAnsi" w:cstheme="minorHAnsi"/>
                <w:sz w:val="20"/>
              </w:rPr>
              <w:t>odd</w:t>
            </w:r>
            <w:proofErr w:type="spellEnd"/>
            <w:r w:rsidRPr="005C31A8">
              <w:rPr>
                <w:rFonts w:asciiTheme="minorHAnsi" w:hAnsiTheme="minorHAnsi" w:cstheme="minorHAnsi"/>
                <w:sz w:val="20"/>
              </w:rPr>
              <w:t xml:space="preserve">./min (dla przedziału 0-120 </w:t>
            </w:r>
            <w:proofErr w:type="spellStart"/>
            <w:r w:rsidRPr="005C31A8">
              <w:rPr>
                <w:rFonts w:asciiTheme="minorHAnsi" w:hAnsiTheme="minorHAnsi" w:cstheme="minorHAnsi"/>
                <w:sz w:val="20"/>
              </w:rPr>
              <w:t>odd</w:t>
            </w:r>
            <w:proofErr w:type="spellEnd"/>
            <w:r w:rsidRPr="005C31A8">
              <w:rPr>
                <w:rFonts w:asciiTheme="minorHAnsi" w:hAnsiTheme="minorHAnsi" w:cstheme="minorHAnsi"/>
                <w:sz w:val="20"/>
              </w:rPr>
              <w:t>./min). Regulowane opóźnienie alarmu bezdechu.</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91F37" w14:textId="0A4C6E3D"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FFFFFF" w:themeFill="background1"/>
          </w:tcPr>
          <w:p w14:paraId="616F3BF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B32471F" w14:textId="77777777" w:rsidTr="005C31A8">
        <w:tc>
          <w:tcPr>
            <w:tcW w:w="1742" w:type="dxa"/>
            <w:shd w:val="clear" w:color="auto" w:fill="auto"/>
            <w:vAlign w:val="center"/>
          </w:tcPr>
          <w:p w14:paraId="6FAB7ACD" w14:textId="312DDAAD"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2092FE2A" w14:textId="531551D4"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
                <w:sz w:val="20"/>
              </w:rPr>
              <w:t>Pomiar saturacji (SPO2)</w:t>
            </w:r>
            <w:r w:rsidRPr="005C31A8">
              <w:rPr>
                <w:rFonts w:asciiTheme="minorHAnsi" w:hAnsiTheme="minorHAnsi" w:cstheme="minorHAnsi"/>
                <w:sz w:val="20"/>
              </w:rPr>
              <w:br/>
              <w:t xml:space="preserve">Pomiar w technologii </w:t>
            </w:r>
            <w:proofErr w:type="spellStart"/>
            <w:r w:rsidRPr="005C31A8">
              <w:rPr>
                <w:rFonts w:asciiTheme="minorHAnsi" w:hAnsiTheme="minorHAnsi" w:cstheme="minorHAnsi"/>
                <w:sz w:val="20"/>
              </w:rPr>
              <w:t>Masimo</w:t>
            </w:r>
            <w:proofErr w:type="spellEnd"/>
            <w:r w:rsidRPr="005C31A8">
              <w:rPr>
                <w:rFonts w:asciiTheme="minorHAnsi" w:hAnsiTheme="minorHAnsi" w:cstheme="minorHAnsi"/>
                <w:sz w:val="20"/>
              </w:rPr>
              <w:t xml:space="preserve"> </w:t>
            </w:r>
            <w:proofErr w:type="spellStart"/>
            <w:r w:rsidRPr="005C31A8">
              <w:rPr>
                <w:rFonts w:asciiTheme="minorHAnsi" w:hAnsiTheme="minorHAnsi" w:cstheme="minorHAnsi"/>
                <w:sz w:val="20"/>
              </w:rPr>
              <w:t>Rainbow</w:t>
            </w:r>
            <w:proofErr w:type="spellEnd"/>
            <w:r w:rsidRPr="005C31A8">
              <w:rPr>
                <w:rFonts w:asciiTheme="minorHAnsi" w:hAnsiTheme="minorHAnsi" w:cstheme="minorHAnsi"/>
                <w:sz w:val="20"/>
              </w:rPr>
              <w:t xml:space="preserve"> SET lub FAST; pomiar SpO2 w zakresie min. 70-100% z dokładnością nie gorszą niż +/-2%. Prezentacja wskaźnika perfuzji PI. </w:t>
            </w:r>
          </w:p>
        </w:tc>
        <w:tc>
          <w:tcPr>
            <w:tcW w:w="3012" w:type="dxa"/>
            <w:tcBorders>
              <w:top w:val="single" w:sz="4" w:space="0" w:color="auto"/>
              <w:left w:val="single" w:sz="4" w:space="0" w:color="auto"/>
              <w:bottom w:val="single" w:sz="4" w:space="0" w:color="auto"/>
              <w:right w:val="single" w:sz="4" w:space="0" w:color="auto"/>
            </w:tcBorders>
            <w:vAlign w:val="center"/>
          </w:tcPr>
          <w:p w14:paraId="422D561E" w14:textId="03A827FB"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604D93F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E5AD4D3" w14:textId="77777777" w:rsidTr="005C31A8">
        <w:tc>
          <w:tcPr>
            <w:tcW w:w="1742" w:type="dxa"/>
            <w:shd w:val="clear" w:color="auto" w:fill="auto"/>
            <w:vAlign w:val="center"/>
          </w:tcPr>
          <w:p w14:paraId="72DF2250" w14:textId="651282B3"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5343DC9" w14:textId="64954B49"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bCs/>
                <w:sz w:val="20"/>
              </w:rPr>
              <w:t xml:space="preserve">Funkcja opóźniania alarmów saturacji i </w:t>
            </w:r>
            <w:proofErr w:type="spellStart"/>
            <w:r w:rsidRPr="005C31A8">
              <w:rPr>
                <w:rFonts w:asciiTheme="minorHAnsi" w:hAnsiTheme="minorHAnsi" w:cstheme="minorHAnsi"/>
                <w:bCs/>
                <w:sz w:val="20"/>
              </w:rPr>
              <w:t>desaturacji</w:t>
            </w:r>
            <w:proofErr w:type="spellEnd"/>
            <w:r w:rsidRPr="005C31A8">
              <w:rPr>
                <w:rFonts w:asciiTheme="minorHAnsi" w:hAnsiTheme="minorHAnsi" w:cstheme="minorHAnsi"/>
                <w:bCs/>
                <w:sz w:val="20"/>
              </w:rPr>
              <w:t xml:space="preserve"> celem zmniejszenia liczby uciążliwych alarmów z </w:t>
            </w:r>
            <w:proofErr w:type="spellStart"/>
            <w:r w:rsidRPr="005C31A8">
              <w:rPr>
                <w:rFonts w:asciiTheme="minorHAnsi" w:hAnsiTheme="minorHAnsi" w:cstheme="minorHAnsi"/>
                <w:bCs/>
                <w:sz w:val="20"/>
              </w:rPr>
              <w:t>pulsoksymetrii</w:t>
            </w:r>
            <w:proofErr w:type="spellEnd"/>
            <w:r w:rsidRPr="005C31A8">
              <w:rPr>
                <w:rFonts w:asciiTheme="minorHAnsi" w:hAnsiTheme="minorHAnsi" w:cstheme="minorHAnsi"/>
                <w:bCs/>
                <w:sz w:val="20"/>
              </w:rPr>
              <w:t>.</w:t>
            </w:r>
          </w:p>
        </w:tc>
        <w:tc>
          <w:tcPr>
            <w:tcW w:w="3012" w:type="dxa"/>
            <w:tcBorders>
              <w:top w:val="single" w:sz="4" w:space="0" w:color="auto"/>
              <w:left w:val="single" w:sz="4" w:space="0" w:color="auto"/>
              <w:bottom w:val="single" w:sz="4" w:space="0" w:color="auto"/>
              <w:right w:val="single" w:sz="4" w:space="0" w:color="auto"/>
            </w:tcBorders>
            <w:vAlign w:val="center"/>
          </w:tcPr>
          <w:p w14:paraId="7033496B" w14:textId="24DB575C"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w:t>
            </w:r>
          </w:p>
        </w:tc>
        <w:tc>
          <w:tcPr>
            <w:tcW w:w="2768" w:type="dxa"/>
            <w:shd w:val="clear" w:color="auto" w:fill="auto"/>
          </w:tcPr>
          <w:p w14:paraId="7A94826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76922E36" w14:textId="77777777" w:rsidTr="005C31A8">
        <w:tc>
          <w:tcPr>
            <w:tcW w:w="1742" w:type="dxa"/>
            <w:shd w:val="clear" w:color="auto" w:fill="auto"/>
            <w:vAlign w:val="center"/>
          </w:tcPr>
          <w:p w14:paraId="6DA379CB" w14:textId="0DB31DAC"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384441A" w14:textId="4DDEF80A" w:rsidR="005C31A8" w:rsidRPr="005C31A8" w:rsidRDefault="005C31A8" w:rsidP="005C31A8">
            <w:pPr>
              <w:pStyle w:val="Tekstpodstawowy"/>
              <w:jc w:val="left"/>
              <w:rPr>
                <w:rFonts w:asciiTheme="minorHAnsi" w:hAnsiTheme="minorHAnsi" w:cstheme="minorHAnsi"/>
                <w:b/>
                <w:bCs/>
                <w:i/>
                <w:sz w:val="20"/>
              </w:rPr>
            </w:pPr>
            <w:r w:rsidRPr="005C31A8">
              <w:rPr>
                <w:rFonts w:asciiTheme="minorHAnsi" w:hAnsiTheme="minorHAnsi" w:cstheme="minorHAnsi"/>
                <w:b/>
                <w:sz w:val="20"/>
              </w:rPr>
              <w:t>Pomiar ciśnienia nieinwazyjnego (NIBP)</w:t>
            </w:r>
            <w:r w:rsidRPr="005C31A8">
              <w:rPr>
                <w:rFonts w:asciiTheme="minorHAnsi" w:hAnsiTheme="minorHAnsi" w:cstheme="minorHAnsi"/>
                <w:sz w:val="20"/>
              </w:rPr>
              <w:br/>
              <w:t xml:space="preserve">Pomiar ciśnienia w zakresie min. 10-270 mmHg, maksymalny błąd średni nie większy niż 5 mmHg. Funkcja </w:t>
            </w:r>
            <w:proofErr w:type="spellStart"/>
            <w:r w:rsidRPr="005C31A8">
              <w:rPr>
                <w:rFonts w:asciiTheme="minorHAnsi" w:hAnsiTheme="minorHAnsi" w:cstheme="minorHAnsi"/>
                <w:sz w:val="20"/>
              </w:rPr>
              <w:t>wenopunkcji</w:t>
            </w:r>
            <w:proofErr w:type="spellEnd"/>
            <w:r w:rsidRPr="005C31A8">
              <w:rPr>
                <w:rFonts w:asciiTheme="minorHAnsi" w:hAnsiTheme="minorHAnsi" w:cstheme="minorHAnsi"/>
                <w:sz w:val="20"/>
              </w:rPr>
              <w:t xml:space="preserve"> ułatwiająca nakłucie żyły. </w:t>
            </w:r>
          </w:p>
        </w:tc>
        <w:tc>
          <w:tcPr>
            <w:tcW w:w="3012" w:type="dxa"/>
            <w:tcBorders>
              <w:top w:val="single" w:sz="4" w:space="0" w:color="auto"/>
              <w:left w:val="single" w:sz="4" w:space="0" w:color="auto"/>
              <w:bottom w:val="single" w:sz="4" w:space="0" w:color="auto"/>
              <w:right w:val="single" w:sz="4" w:space="0" w:color="auto"/>
            </w:tcBorders>
            <w:vAlign w:val="center"/>
          </w:tcPr>
          <w:p w14:paraId="74356DE3" w14:textId="5C4922E2"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40C59281"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162AD26" w14:textId="77777777" w:rsidTr="005C31A8">
        <w:tc>
          <w:tcPr>
            <w:tcW w:w="1742" w:type="dxa"/>
            <w:shd w:val="clear" w:color="auto" w:fill="auto"/>
            <w:vAlign w:val="center"/>
          </w:tcPr>
          <w:p w14:paraId="6103B52B" w14:textId="7CCC1CBA"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664A0DA8" w14:textId="1AB82081"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 xml:space="preserve">Programowane odstępy między pomiarami automatycznymi w zakresie min. od 1 minuty do 24 godz. </w:t>
            </w:r>
          </w:p>
        </w:tc>
        <w:tc>
          <w:tcPr>
            <w:tcW w:w="3012" w:type="dxa"/>
            <w:tcBorders>
              <w:top w:val="single" w:sz="4" w:space="0" w:color="auto"/>
              <w:left w:val="single" w:sz="4" w:space="0" w:color="auto"/>
              <w:bottom w:val="single" w:sz="4" w:space="0" w:color="auto"/>
              <w:right w:val="single" w:sz="4" w:space="0" w:color="auto"/>
            </w:tcBorders>
            <w:vAlign w:val="center"/>
          </w:tcPr>
          <w:p w14:paraId="41FADA78" w14:textId="03CCE45F"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w:t>
            </w:r>
          </w:p>
        </w:tc>
        <w:tc>
          <w:tcPr>
            <w:tcW w:w="2768" w:type="dxa"/>
            <w:shd w:val="clear" w:color="auto" w:fill="auto"/>
          </w:tcPr>
          <w:p w14:paraId="4F9C11C6"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3498F16" w14:textId="77777777" w:rsidTr="005C31A8">
        <w:tc>
          <w:tcPr>
            <w:tcW w:w="1742" w:type="dxa"/>
            <w:shd w:val="clear" w:color="auto" w:fill="auto"/>
            <w:vAlign w:val="center"/>
          </w:tcPr>
          <w:p w14:paraId="31996AF0" w14:textId="6661D00D"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CFB41E5" w14:textId="6B54CFEA"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Możliwość programowania sekwencji pomiarowych (np. 3 pomiary co 15 minut, następnie 3 pomiary co 2 godziny itp.) w trybie auto.</w:t>
            </w:r>
          </w:p>
        </w:tc>
        <w:tc>
          <w:tcPr>
            <w:tcW w:w="3012" w:type="dxa"/>
            <w:tcBorders>
              <w:top w:val="single" w:sz="4" w:space="0" w:color="auto"/>
              <w:left w:val="single" w:sz="4" w:space="0" w:color="auto"/>
              <w:bottom w:val="single" w:sz="4" w:space="0" w:color="auto"/>
              <w:right w:val="single" w:sz="4" w:space="0" w:color="auto"/>
            </w:tcBorders>
            <w:vAlign w:val="center"/>
          </w:tcPr>
          <w:p w14:paraId="4E1BF955" w14:textId="6D478DBB"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color w:val="000000"/>
                <w:sz w:val="20"/>
              </w:rPr>
              <w:t>TAK, podać</w:t>
            </w:r>
          </w:p>
        </w:tc>
        <w:tc>
          <w:tcPr>
            <w:tcW w:w="2768" w:type="dxa"/>
            <w:shd w:val="clear" w:color="auto" w:fill="auto"/>
          </w:tcPr>
          <w:p w14:paraId="2239178F"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8C2420D" w14:textId="77777777" w:rsidTr="005C31A8">
        <w:tc>
          <w:tcPr>
            <w:tcW w:w="1742" w:type="dxa"/>
            <w:shd w:val="clear" w:color="auto" w:fill="auto"/>
            <w:vAlign w:val="center"/>
          </w:tcPr>
          <w:p w14:paraId="3802F311" w14:textId="6D152608"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6433B63B" w14:textId="2718650F" w:rsidR="005C31A8" w:rsidRPr="005C31A8" w:rsidRDefault="005C31A8" w:rsidP="005C31A8">
            <w:pPr>
              <w:pStyle w:val="Tekstpodstawowy"/>
              <w:rPr>
                <w:rFonts w:asciiTheme="minorHAnsi" w:hAnsiTheme="minorHAnsi" w:cstheme="minorHAnsi"/>
                <w:b/>
                <w:bCs/>
                <w:i/>
                <w:sz w:val="20"/>
              </w:rPr>
            </w:pPr>
            <w:r w:rsidRPr="005C31A8">
              <w:rPr>
                <w:rFonts w:asciiTheme="minorHAnsi" w:hAnsiTheme="minorHAnsi" w:cstheme="minorHAnsi"/>
                <w:sz w:val="20"/>
              </w:rPr>
              <w:t>Wyświetlanie tabeli zawierającej wyniki poprzednich pomiarów ciśnienia na ekranie głównym obok aktualnie mierzonych wartości.</w:t>
            </w:r>
          </w:p>
        </w:tc>
        <w:tc>
          <w:tcPr>
            <w:tcW w:w="3012" w:type="dxa"/>
            <w:tcBorders>
              <w:top w:val="single" w:sz="4" w:space="0" w:color="auto"/>
              <w:left w:val="single" w:sz="4" w:space="0" w:color="auto"/>
              <w:bottom w:val="single" w:sz="4" w:space="0" w:color="auto"/>
              <w:right w:val="single" w:sz="4" w:space="0" w:color="auto"/>
            </w:tcBorders>
            <w:vAlign w:val="center"/>
          </w:tcPr>
          <w:p w14:paraId="2EE2EB39" w14:textId="3AC0848D" w:rsidR="005C31A8" w:rsidRPr="005C31A8" w:rsidRDefault="005C31A8" w:rsidP="005C31A8">
            <w:pPr>
              <w:pStyle w:val="Tekstpodstawowy"/>
              <w:jc w:val="center"/>
              <w:rPr>
                <w:rFonts w:asciiTheme="minorHAnsi" w:hAnsiTheme="minorHAnsi" w:cstheme="minorHAnsi"/>
                <w:b/>
                <w:bCs/>
                <w:i/>
                <w:sz w:val="20"/>
              </w:rPr>
            </w:pPr>
            <w:r w:rsidRPr="005C31A8">
              <w:rPr>
                <w:rFonts w:asciiTheme="minorHAnsi" w:hAnsiTheme="minorHAnsi" w:cstheme="minorHAnsi"/>
                <w:sz w:val="20"/>
              </w:rPr>
              <w:t>TAK</w:t>
            </w:r>
          </w:p>
        </w:tc>
        <w:tc>
          <w:tcPr>
            <w:tcW w:w="2768" w:type="dxa"/>
            <w:shd w:val="clear" w:color="auto" w:fill="auto"/>
          </w:tcPr>
          <w:p w14:paraId="5266B1D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08C4BCD" w14:textId="77777777" w:rsidTr="005C31A8">
        <w:tc>
          <w:tcPr>
            <w:tcW w:w="1742" w:type="dxa"/>
            <w:shd w:val="clear" w:color="auto" w:fill="auto"/>
            <w:vAlign w:val="center"/>
          </w:tcPr>
          <w:p w14:paraId="5F6CD399" w14:textId="06A9DF08"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A20BCE9" w14:textId="04D38BD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b/>
                <w:sz w:val="20"/>
                <w:szCs w:val="20"/>
              </w:rPr>
              <w:t>Pomiar temperatury (TEMP)</w:t>
            </w:r>
            <w:r w:rsidRPr="005C31A8">
              <w:rPr>
                <w:rFonts w:asciiTheme="minorHAnsi" w:hAnsiTheme="minorHAnsi" w:cstheme="minorHAnsi"/>
                <w:sz w:val="20"/>
                <w:szCs w:val="20"/>
              </w:rPr>
              <w:br/>
              <w:t xml:space="preserve">Pomiar min. w 1 kanale w zakresie min. 0-45°C, dokładność nie gorsza niż 0,1°C. Możliwość wyboru etykiet temperatury (min. 19 etykiet). </w:t>
            </w:r>
          </w:p>
        </w:tc>
        <w:tc>
          <w:tcPr>
            <w:tcW w:w="3012" w:type="dxa"/>
            <w:tcBorders>
              <w:top w:val="single" w:sz="4" w:space="0" w:color="auto"/>
              <w:left w:val="single" w:sz="4" w:space="0" w:color="auto"/>
              <w:bottom w:val="single" w:sz="4" w:space="0" w:color="auto"/>
              <w:right w:val="single" w:sz="4" w:space="0" w:color="auto"/>
            </w:tcBorders>
            <w:vAlign w:val="center"/>
          </w:tcPr>
          <w:p w14:paraId="54FC1FC5" w14:textId="4FCBE1CB" w:rsidR="005C31A8" w:rsidRPr="005C31A8" w:rsidRDefault="005C31A8" w:rsidP="005C31A8">
            <w:pPr>
              <w:pStyle w:val="Tekstpodstawowy"/>
              <w:jc w:val="center"/>
              <w:rPr>
                <w:rFonts w:asciiTheme="minorHAnsi" w:hAnsiTheme="minorHAnsi" w:cstheme="minorHAnsi"/>
                <w:b/>
                <w:bCs/>
                <w:color w:val="000000"/>
                <w:sz w:val="20"/>
              </w:rPr>
            </w:pPr>
            <w:r w:rsidRPr="005C31A8">
              <w:rPr>
                <w:rFonts w:asciiTheme="minorHAnsi" w:hAnsiTheme="minorHAnsi" w:cstheme="minorHAnsi"/>
                <w:color w:val="000000"/>
                <w:sz w:val="20"/>
              </w:rPr>
              <w:t>TAK, podać</w:t>
            </w:r>
          </w:p>
        </w:tc>
        <w:tc>
          <w:tcPr>
            <w:tcW w:w="2768" w:type="dxa"/>
            <w:shd w:val="clear" w:color="auto" w:fill="auto"/>
          </w:tcPr>
          <w:p w14:paraId="675B9C69"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A6B6617" w14:textId="77777777" w:rsidTr="005C31A8">
        <w:tc>
          <w:tcPr>
            <w:tcW w:w="1742" w:type="dxa"/>
            <w:shd w:val="clear" w:color="auto" w:fill="auto"/>
            <w:vAlign w:val="center"/>
          </w:tcPr>
          <w:p w14:paraId="6144C146" w14:textId="5BA218D6"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D84BA3C" w14:textId="2F8C2C2D" w:rsidR="005C31A8" w:rsidRPr="005C31A8" w:rsidRDefault="005C31A8" w:rsidP="005C31A8">
            <w:pPr>
              <w:tabs>
                <w:tab w:val="left" w:pos="284"/>
              </w:tabs>
              <w:rPr>
                <w:rFonts w:asciiTheme="minorHAnsi" w:hAnsiTheme="minorHAnsi" w:cstheme="minorHAnsi"/>
                <w:bCs/>
                <w:sz w:val="20"/>
                <w:szCs w:val="20"/>
                <w:lang w:eastAsia="ar-SA"/>
              </w:rPr>
            </w:pPr>
            <w:r w:rsidRPr="005C31A8">
              <w:rPr>
                <w:rFonts w:asciiTheme="minorHAnsi" w:hAnsiTheme="minorHAnsi" w:cstheme="minorHAnsi"/>
                <w:b/>
                <w:bCs/>
                <w:sz w:val="20"/>
                <w:szCs w:val="20"/>
              </w:rPr>
              <w:t>Pomiar ciśnienia inwazyjnego (IBP)</w:t>
            </w:r>
            <w:r w:rsidRPr="005C31A8">
              <w:rPr>
                <w:rFonts w:asciiTheme="minorHAnsi" w:hAnsiTheme="minorHAnsi" w:cstheme="minorHAnsi"/>
                <w:sz w:val="20"/>
                <w:szCs w:val="20"/>
              </w:rPr>
              <w:br/>
              <w:t xml:space="preserve">Pomiar w min. 1 kanale z możliwością rozszerzenia do 8 kanałów poprzez kable rozdzielające oraz moduły dodatkowe. Pomiar w zakresie min. od -40 do +360 mmHg. Obliczanie parametrów CPP i PPV (w zależności od dostępnych pomiarów). Obliczanie ciśnienia zaklinowania tętnicy płucnej. Możliwość ustawienia do min. 33 różnych etykiet dla ciśnień inwazyjnych. </w:t>
            </w:r>
          </w:p>
        </w:tc>
        <w:tc>
          <w:tcPr>
            <w:tcW w:w="3012" w:type="dxa"/>
            <w:tcBorders>
              <w:top w:val="single" w:sz="4" w:space="0" w:color="auto"/>
              <w:left w:val="single" w:sz="4" w:space="0" w:color="auto"/>
              <w:bottom w:val="single" w:sz="4" w:space="0" w:color="auto"/>
              <w:right w:val="single" w:sz="4" w:space="0" w:color="auto"/>
            </w:tcBorders>
            <w:vAlign w:val="center"/>
          </w:tcPr>
          <w:p w14:paraId="77E96DA4" w14:textId="7D02617D"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color w:val="000000"/>
                <w:sz w:val="20"/>
              </w:rPr>
              <w:t>TAK, podać</w:t>
            </w:r>
          </w:p>
        </w:tc>
        <w:tc>
          <w:tcPr>
            <w:tcW w:w="2768" w:type="dxa"/>
            <w:shd w:val="clear" w:color="auto" w:fill="auto"/>
          </w:tcPr>
          <w:p w14:paraId="51202D01"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C50235C" w14:textId="77777777" w:rsidTr="005C31A8">
        <w:tc>
          <w:tcPr>
            <w:tcW w:w="1742" w:type="dxa"/>
            <w:shd w:val="clear" w:color="auto" w:fill="auto"/>
            <w:vAlign w:val="center"/>
          </w:tcPr>
          <w:p w14:paraId="65385B51" w14:textId="5F62F4DD" w:rsidR="005C31A8" w:rsidRPr="003154C3" w:rsidRDefault="005C31A8" w:rsidP="005C31A8">
            <w:pPr>
              <w:pStyle w:val="Tekstpodstawowy"/>
              <w:jc w:val="center"/>
              <w:rPr>
                <w:rFonts w:asciiTheme="minorHAnsi" w:hAnsiTheme="minorHAnsi" w:cstheme="minorHAnsi"/>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07ADA7B"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Aplikacje ułatwiające monitorowanie i wspierające decyzje kliniczne:</w:t>
            </w:r>
          </w:p>
          <w:p w14:paraId="141C7E6C"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możliwość rejestracji wieloparametrowych zdarzeń powiązanych (</w:t>
            </w:r>
            <w:proofErr w:type="spellStart"/>
            <w:r w:rsidRPr="005C31A8">
              <w:rPr>
                <w:rFonts w:asciiTheme="minorHAnsi" w:hAnsiTheme="minorHAnsi" w:cstheme="minorHAnsi"/>
                <w:sz w:val="20"/>
                <w:szCs w:val="20"/>
              </w:rPr>
              <w:t>apnea</w:t>
            </w:r>
            <w:proofErr w:type="spellEnd"/>
            <w:r w:rsidRPr="005C31A8">
              <w:rPr>
                <w:rFonts w:asciiTheme="minorHAnsi" w:hAnsiTheme="minorHAnsi" w:cstheme="minorHAnsi"/>
                <w:sz w:val="20"/>
                <w:szCs w:val="20"/>
              </w:rPr>
              <w:t xml:space="preserve">, bradykardia, </w:t>
            </w:r>
            <w:proofErr w:type="spellStart"/>
            <w:r w:rsidRPr="005C31A8">
              <w:rPr>
                <w:rFonts w:asciiTheme="minorHAnsi" w:hAnsiTheme="minorHAnsi" w:cstheme="minorHAnsi"/>
                <w:sz w:val="20"/>
                <w:szCs w:val="20"/>
              </w:rPr>
              <w:t>desaturacja</w:t>
            </w:r>
            <w:proofErr w:type="spellEnd"/>
            <w:r w:rsidRPr="005C31A8">
              <w:rPr>
                <w:rFonts w:asciiTheme="minorHAnsi" w:hAnsiTheme="minorHAnsi" w:cstheme="minorHAnsi"/>
                <w:sz w:val="20"/>
                <w:szCs w:val="20"/>
              </w:rPr>
              <w:t>) z okresu min. 24 godzin; możliwość edycji kryteriów</w:t>
            </w:r>
          </w:p>
          <w:p w14:paraId="242AB1A1"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 aplikacja dostarczająca personelowi informacje zwrotne na temat powtarzających się i ciągłych przekroczeń progów alarmowych mająca za zadanie minimalizację niepotrzebnych alarmów </w:t>
            </w:r>
          </w:p>
          <w:p w14:paraId="14ED3067"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xml:space="preserve">- możliwość ustawienia dowolnych stoperów i zegarów </w:t>
            </w:r>
          </w:p>
          <w:p w14:paraId="624CAE0D" w14:textId="6A669AC2" w:rsidR="005C31A8" w:rsidRPr="005C31A8" w:rsidRDefault="005C31A8" w:rsidP="005C31A8">
            <w:pPr>
              <w:tabs>
                <w:tab w:val="left" w:pos="284"/>
              </w:tabs>
              <w:jc w:val="both"/>
              <w:rPr>
                <w:rFonts w:asciiTheme="minorHAnsi" w:hAnsiTheme="minorHAnsi" w:cstheme="minorHAnsi"/>
                <w:sz w:val="20"/>
                <w:szCs w:val="20"/>
              </w:rPr>
            </w:pPr>
            <w:r w:rsidRPr="005C31A8">
              <w:rPr>
                <w:rFonts w:asciiTheme="minorHAnsi" w:hAnsiTheme="minorHAnsi" w:cstheme="minorHAnsi"/>
                <w:sz w:val="20"/>
                <w:szCs w:val="20"/>
              </w:rPr>
              <w:t xml:space="preserve">- obliczanie dawek leków, wentylacji, parametrów hemodynamicznych i </w:t>
            </w:r>
            <w:proofErr w:type="spellStart"/>
            <w:r w:rsidRPr="005C31A8">
              <w:rPr>
                <w:rFonts w:asciiTheme="minorHAnsi" w:hAnsiTheme="minorHAnsi" w:cstheme="minorHAnsi"/>
                <w:sz w:val="20"/>
                <w:szCs w:val="20"/>
              </w:rPr>
              <w:t>natlenowania</w:t>
            </w:r>
            <w:proofErr w:type="spellEnd"/>
            <w:r w:rsidRPr="005C31A8">
              <w:rPr>
                <w:rFonts w:asciiTheme="minorHAnsi" w:hAnsiTheme="minorHAnsi" w:cstheme="minorHAnsi"/>
                <w:sz w:val="20"/>
                <w:szCs w:val="20"/>
              </w:rPr>
              <w:t xml:space="preserve">. </w:t>
            </w:r>
          </w:p>
        </w:tc>
        <w:tc>
          <w:tcPr>
            <w:tcW w:w="3012" w:type="dxa"/>
            <w:tcBorders>
              <w:top w:val="single" w:sz="4" w:space="0" w:color="auto"/>
              <w:left w:val="single" w:sz="4" w:space="0" w:color="auto"/>
              <w:bottom w:val="single" w:sz="4" w:space="0" w:color="auto"/>
              <w:right w:val="single" w:sz="4" w:space="0" w:color="auto"/>
            </w:tcBorders>
            <w:vAlign w:val="center"/>
          </w:tcPr>
          <w:p w14:paraId="678D6231"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TAK/NIE</w:t>
            </w:r>
          </w:p>
          <w:p w14:paraId="35FCE784"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 – 4 pkt</w:t>
            </w:r>
          </w:p>
          <w:p w14:paraId="32BE18E4" w14:textId="424A7424"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sz w:val="20"/>
              </w:rPr>
              <w:t>Nie – 0 pkt</w:t>
            </w:r>
          </w:p>
        </w:tc>
        <w:tc>
          <w:tcPr>
            <w:tcW w:w="2768" w:type="dxa"/>
            <w:shd w:val="clear" w:color="auto" w:fill="auto"/>
          </w:tcPr>
          <w:p w14:paraId="41CDB97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D33B0F1" w14:textId="77777777" w:rsidTr="005C31A8">
        <w:tc>
          <w:tcPr>
            <w:tcW w:w="1742" w:type="dxa"/>
            <w:shd w:val="clear" w:color="auto" w:fill="FFFFFF" w:themeFill="background1"/>
            <w:vAlign w:val="center"/>
          </w:tcPr>
          <w:p w14:paraId="796924D5" w14:textId="3D5663F7" w:rsidR="005C31A8" w:rsidRPr="003154C3" w:rsidRDefault="005C31A8" w:rsidP="005C31A8">
            <w:pPr>
              <w:pStyle w:val="Tekstpodstawowy"/>
              <w:jc w:val="center"/>
              <w:rPr>
                <w:rFonts w:asciiTheme="minorHAnsi" w:hAnsiTheme="minorHAnsi" w:cstheme="minorHAnsi"/>
                <w:i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FF682" w14:textId="31DE80DB" w:rsidR="005C31A8" w:rsidRPr="005C31A8" w:rsidRDefault="005C31A8" w:rsidP="005C31A8">
            <w:pPr>
              <w:tabs>
                <w:tab w:val="left" w:pos="284"/>
              </w:tabs>
              <w:jc w:val="both"/>
              <w:rPr>
                <w:rFonts w:asciiTheme="minorHAnsi" w:hAnsiTheme="minorHAnsi" w:cstheme="minorHAnsi"/>
                <w:sz w:val="20"/>
                <w:szCs w:val="20"/>
              </w:rPr>
            </w:pPr>
            <w:r w:rsidRPr="005C31A8">
              <w:rPr>
                <w:rFonts w:asciiTheme="minorHAnsi" w:hAnsiTheme="minorHAnsi" w:cstheme="minorHAnsi"/>
                <w:sz w:val="20"/>
                <w:szCs w:val="20"/>
              </w:rPr>
              <w:t>Trendy graficzne i tabelaryczne mierzonych parametrów z okresu min. 96 godzin.</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0D635" w14:textId="2D5364B8"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color w:val="000000"/>
                <w:sz w:val="20"/>
              </w:rPr>
              <w:t>TAK, podać</w:t>
            </w:r>
          </w:p>
        </w:tc>
        <w:tc>
          <w:tcPr>
            <w:tcW w:w="2768" w:type="dxa"/>
            <w:shd w:val="clear" w:color="auto" w:fill="FFFFFF" w:themeFill="background1"/>
          </w:tcPr>
          <w:p w14:paraId="4CD68831"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3F47B06" w14:textId="77777777" w:rsidTr="005C31A8">
        <w:tc>
          <w:tcPr>
            <w:tcW w:w="1742" w:type="dxa"/>
            <w:shd w:val="clear" w:color="auto" w:fill="auto"/>
            <w:vAlign w:val="center"/>
          </w:tcPr>
          <w:p w14:paraId="2D05F362" w14:textId="734BC540" w:rsidR="005C31A8" w:rsidRPr="003154C3" w:rsidRDefault="005C31A8" w:rsidP="005C31A8">
            <w:pPr>
              <w:pStyle w:val="Tekstpodstawowy"/>
              <w:jc w:val="center"/>
              <w:rPr>
                <w:rFonts w:asciiTheme="minorHAnsi" w:hAnsiTheme="minorHAnsi" w:cstheme="minorHAnsi"/>
                <w:b/>
                <w:bCs/>
                <w:i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856C0A1" w14:textId="3DE844AF" w:rsidR="005C31A8" w:rsidRPr="005C31A8" w:rsidRDefault="005C31A8" w:rsidP="005C31A8">
            <w:pPr>
              <w:snapToGrid w:val="0"/>
              <w:rPr>
                <w:rFonts w:asciiTheme="minorHAnsi" w:hAnsiTheme="minorHAnsi" w:cstheme="minorHAnsi"/>
                <w:b/>
                <w:bCs/>
                <w:sz w:val="20"/>
                <w:szCs w:val="20"/>
              </w:rPr>
            </w:pPr>
            <w:r w:rsidRPr="005C31A8">
              <w:rPr>
                <w:rFonts w:asciiTheme="minorHAnsi" w:hAnsiTheme="minorHAnsi" w:cstheme="minorHAnsi"/>
                <w:sz w:val="20"/>
                <w:szCs w:val="20"/>
              </w:rPr>
              <w:t>Oprogramowanie kardiomonitora musi umożliwiać gromadzenie i przechowywanie danych parametrów życiowych. Możliwość wykorzystania zgromadzonych danych przez inne aplikacje. Możliwość przeszukiwania danych za pomocą języka zapytań SQL.</w:t>
            </w:r>
          </w:p>
        </w:tc>
        <w:tc>
          <w:tcPr>
            <w:tcW w:w="3012" w:type="dxa"/>
            <w:tcBorders>
              <w:top w:val="single" w:sz="4" w:space="0" w:color="auto"/>
              <w:left w:val="single" w:sz="4" w:space="0" w:color="auto"/>
              <w:bottom w:val="single" w:sz="4" w:space="0" w:color="auto"/>
              <w:right w:val="single" w:sz="4" w:space="0" w:color="auto"/>
            </w:tcBorders>
            <w:vAlign w:val="center"/>
          </w:tcPr>
          <w:p w14:paraId="1328CC03" w14:textId="13ACC1F9"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sz w:val="20"/>
              </w:rPr>
              <w:t>TAK</w:t>
            </w:r>
          </w:p>
        </w:tc>
        <w:tc>
          <w:tcPr>
            <w:tcW w:w="2768" w:type="dxa"/>
            <w:shd w:val="clear" w:color="auto" w:fill="auto"/>
          </w:tcPr>
          <w:p w14:paraId="1F275BAB"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C462449" w14:textId="77777777" w:rsidTr="005C31A8">
        <w:tc>
          <w:tcPr>
            <w:tcW w:w="1742" w:type="dxa"/>
            <w:shd w:val="clear" w:color="auto" w:fill="D9D9D9" w:themeFill="background1" w:themeFillShade="D9"/>
            <w:vAlign w:val="center"/>
          </w:tcPr>
          <w:p w14:paraId="6836D404" w14:textId="659A1C83" w:rsidR="005C31A8" w:rsidRPr="00EC2AB7"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09F3B" w14:textId="393F73FA" w:rsidR="005C31A8" w:rsidRPr="005C31A8" w:rsidRDefault="005C31A8" w:rsidP="005C31A8">
            <w:pPr>
              <w:pStyle w:val="Tekstpodstawowy"/>
              <w:rPr>
                <w:rFonts w:asciiTheme="minorHAnsi" w:hAnsiTheme="minorHAnsi" w:cstheme="minorHAnsi"/>
                <w:sz w:val="20"/>
              </w:rPr>
            </w:pPr>
            <w:r w:rsidRPr="005C31A8">
              <w:rPr>
                <w:rFonts w:asciiTheme="minorHAnsi" w:hAnsiTheme="minorHAnsi" w:cstheme="minorHAnsi"/>
                <w:b/>
                <w:bCs/>
                <w:sz w:val="20"/>
              </w:rPr>
              <w:t xml:space="preserve">Kardiomonitor o zaawansowanej konstrukcji modułowej pozwalający na doposażenie w dodatkowe pomiary oraz funkcje wbudowane (także po zakupie). </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9964FC" w14:textId="5E9B8953" w:rsidR="005C31A8" w:rsidRPr="005C31A8" w:rsidRDefault="005C31A8" w:rsidP="005C31A8">
            <w:pPr>
              <w:pStyle w:val="Tekstpodstawowy"/>
              <w:jc w:val="center"/>
              <w:rPr>
                <w:rFonts w:asciiTheme="minorHAnsi" w:hAnsiTheme="minorHAnsi" w:cstheme="minorHAnsi"/>
                <w:sz w:val="20"/>
              </w:rPr>
            </w:pPr>
          </w:p>
        </w:tc>
        <w:tc>
          <w:tcPr>
            <w:tcW w:w="2768" w:type="dxa"/>
            <w:shd w:val="clear" w:color="auto" w:fill="D9D9D9" w:themeFill="background1" w:themeFillShade="D9"/>
          </w:tcPr>
          <w:p w14:paraId="30C40D7C"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E7839CC" w14:textId="77777777" w:rsidTr="005C31A8">
        <w:tc>
          <w:tcPr>
            <w:tcW w:w="1742" w:type="dxa"/>
            <w:shd w:val="clear" w:color="auto" w:fill="auto"/>
            <w:vAlign w:val="center"/>
          </w:tcPr>
          <w:p w14:paraId="041899E3" w14:textId="0CB7B80D"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ED43D35" w14:textId="60079A28" w:rsidR="005C31A8" w:rsidRPr="005C31A8" w:rsidRDefault="005C31A8" w:rsidP="005C31A8">
            <w:pPr>
              <w:pStyle w:val="Tekstpodstawowy"/>
              <w:rPr>
                <w:rFonts w:asciiTheme="minorHAnsi" w:hAnsiTheme="minorHAnsi" w:cstheme="minorHAnsi"/>
                <w:sz w:val="20"/>
              </w:rPr>
            </w:pPr>
            <w:r w:rsidRPr="005C31A8">
              <w:rPr>
                <w:rFonts w:asciiTheme="minorHAnsi" w:hAnsiTheme="minorHAnsi" w:cstheme="minorHAnsi"/>
                <w:sz w:val="20"/>
              </w:rPr>
              <w:t xml:space="preserve">Możliwość rozbudowy o dodatkowy aktywny wyświetlacz o takiej samej konstrukcji (rozdzielczość </w:t>
            </w:r>
            <w:proofErr w:type="spellStart"/>
            <w:r w:rsidRPr="005C31A8">
              <w:rPr>
                <w:rFonts w:asciiTheme="minorHAnsi" w:hAnsiTheme="minorHAnsi" w:cstheme="minorHAnsi"/>
                <w:sz w:val="20"/>
              </w:rPr>
              <w:t>full</w:t>
            </w:r>
            <w:proofErr w:type="spellEnd"/>
            <w:r w:rsidRPr="005C31A8">
              <w:rPr>
                <w:rFonts w:asciiTheme="minorHAnsi" w:hAnsiTheme="minorHAnsi" w:cstheme="minorHAnsi"/>
                <w:sz w:val="20"/>
              </w:rPr>
              <w:t xml:space="preserve"> HD i min. 19”) z możliwością niezależnego wyświetlania danych oraz transfer </w:t>
            </w:r>
            <w:r w:rsidRPr="005C31A8">
              <w:rPr>
                <w:rFonts w:asciiTheme="minorHAnsi" w:hAnsiTheme="minorHAnsi" w:cstheme="minorHAnsi"/>
                <w:sz w:val="20"/>
              </w:rPr>
              <w:lastRenderedPageBreak/>
              <w:t>alarmów. Produkt medyczny dedykowany i certyfikowany przez tego samego producenta. Komunikacja z kardiomonitorem poprzez szyfrowane połącznie sieciowe (przesyłane alarmy również szyfrowane).</w:t>
            </w:r>
          </w:p>
        </w:tc>
        <w:tc>
          <w:tcPr>
            <w:tcW w:w="3012" w:type="dxa"/>
            <w:tcBorders>
              <w:top w:val="single" w:sz="4" w:space="0" w:color="auto"/>
              <w:left w:val="single" w:sz="4" w:space="0" w:color="auto"/>
              <w:bottom w:val="single" w:sz="4" w:space="0" w:color="auto"/>
              <w:right w:val="single" w:sz="4" w:space="0" w:color="auto"/>
            </w:tcBorders>
            <w:vAlign w:val="center"/>
          </w:tcPr>
          <w:p w14:paraId="2676EC67"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lastRenderedPageBreak/>
              <w:t>TAK, podać</w:t>
            </w:r>
          </w:p>
          <w:p w14:paraId="3B58051C"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19-20” – 0 pkt</w:t>
            </w:r>
          </w:p>
          <w:p w14:paraId="6F3CE661" w14:textId="3AC8C6E8" w:rsidR="005C31A8" w:rsidRPr="005C31A8" w:rsidRDefault="005C31A8" w:rsidP="005C31A8">
            <w:pPr>
              <w:pStyle w:val="Tekstpodstawowy"/>
              <w:jc w:val="center"/>
              <w:rPr>
                <w:rFonts w:asciiTheme="minorHAnsi" w:hAnsiTheme="minorHAnsi" w:cstheme="minorHAnsi"/>
                <w:sz w:val="20"/>
              </w:rPr>
            </w:pPr>
            <w:r w:rsidRPr="005C31A8">
              <w:rPr>
                <w:rFonts w:asciiTheme="minorHAnsi" w:hAnsiTheme="minorHAnsi" w:cstheme="minorHAnsi"/>
                <w:sz w:val="20"/>
              </w:rPr>
              <w:lastRenderedPageBreak/>
              <w:t>&gt;21” – 2 pkt</w:t>
            </w:r>
          </w:p>
        </w:tc>
        <w:tc>
          <w:tcPr>
            <w:tcW w:w="2768" w:type="dxa"/>
            <w:shd w:val="clear" w:color="auto" w:fill="auto"/>
          </w:tcPr>
          <w:p w14:paraId="0E5F061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0121D4F" w14:textId="77777777" w:rsidTr="005C31A8">
        <w:tc>
          <w:tcPr>
            <w:tcW w:w="1742" w:type="dxa"/>
            <w:shd w:val="clear" w:color="auto" w:fill="auto"/>
            <w:vAlign w:val="center"/>
          </w:tcPr>
          <w:p w14:paraId="04A9A568" w14:textId="438393EA"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B3B2DE4" w14:textId="283FB292" w:rsidR="005C31A8" w:rsidRPr="005C31A8" w:rsidRDefault="005C31A8" w:rsidP="005C31A8">
            <w:pPr>
              <w:spacing w:line="276" w:lineRule="auto"/>
              <w:rPr>
                <w:rFonts w:asciiTheme="minorHAnsi" w:hAnsiTheme="minorHAnsi" w:cstheme="minorHAnsi"/>
                <w:bCs/>
                <w:sz w:val="20"/>
                <w:szCs w:val="20"/>
                <w:lang w:eastAsia="en-US"/>
              </w:rPr>
            </w:pPr>
            <w:r w:rsidRPr="005C31A8">
              <w:rPr>
                <w:rFonts w:asciiTheme="minorHAnsi" w:hAnsiTheme="minorHAnsi" w:cstheme="minorHAnsi"/>
                <w:bCs/>
                <w:sz w:val="20"/>
                <w:szCs w:val="20"/>
                <w:lang w:eastAsia="en-US"/>
              </w:rPr>
              <w:t xml:space="preserve">Możliwość doposażenia kardiomonitora w dodatkowe pomiary nieinwazyjnej hemoglobiny (min. </w:t>
            </w:r>
            <w:proofErr w:type="spellStart"/>
            <w:r w:rsidRPr="005C31A8">
              <w:rPr>
                <w:rFonts w:asciiTheme="minorHAnsi" w:hAnsiTheme="minorHAnsi" w:cstheme="minorHAnsi"/>
                <w:bCs/>
                <w:sz w:val="20"/>
                <w:szCs w:val="20"/>
                <w:lang w:eastAsia="en-US"/>
              </w:rPr>
              <w:t>SpHb</w:t>
            </w:r>
            <w:proofErr w:type="spellEnd"/>
            <w:r w:rsidRPr="005C31A8">
              <w:rPr>
                <w:rFonts w:asciiTheme="minorHAnsi" w:hAnsiTheme="minorHAnsi" w:cstheme="minorHAnsi"/>
                <w:bCs/>
                <w:sz w:val="20"/>
                <w:szCs w:val="20"/>
                <w:lang w:eastAsia="en-US"/>
              </w:rPr>
              <w:t xml:space="preserve">, </w:t>
            </w:r>
            <w:proofErr w:type="spellStart"/>
            <w:r w:rsidRPr="005C31A8">
              <w:rPr>
                <w:rFonts w:asciiTheme="minorHAnsi" w:hAnsiTheme="minorHAnsi" w:cstheme="minorHAnsi"/>
                <w:bCs/>
                <w:sz w:val="20"/>
                <w:szCs w:val="20"/>
                <w:lang w:eastAsia="en-US"/>
              </w:rPr>
              <w:t>SpMet</w:t>
            </w:r>
            <w:proofErr w:type="spellEnd"/>
            <w:r w:rsidRPr="005C31A8">
              <w:rPr>
                <w:rFonts w:asciiTheme="minorHAnsi" w:hAnsiTheme="minorHAnsi" w:cstheme="minorHAnsi"/>
                <w:bCs/>
                <w:sz w:val="20"/>
                <w:szCs w:val="20"/>
                <w:lang w:eastAsia="en-US"/>
              </w:rPr>
              <w:t xml:space="preserve">, </w:t>
            </w:r>
            <w:proofErr w:type="spellStart"/>
            <w:r w:rsidRPr="005C31A8">
              <w:rPr>
                <w:rFonts w:asciiTheme="minorHAnsi" w:hAnsiTheme="minorHAnsi" w:cstheme="minorHAnsi"/>
                <w:bCs/>
                <w:sz w:val="20"/>
                <w:szCs w:val="20"/>
                <w:lang w:eastAsia="en-US"/>
              </w:rPr>
              <w:t>SpCO</w:t>
            </w:r>
            <w:proofErr w:type="spellEnd"/>
            <w:r w:rsidRPr="005C31A8">
              <w:rPr>
                <w:rFonts w:asciiTheme="minorHAnsi" w:hAnsiTheme="minorHAnsi" w:cstheme="minorHAnsi"/>
                <w:bCs/>
                <w:sz w:val="20"/>
                <w:szCs w:val="20"/>
                <w:lang w:eastAsia="en-US"/>
              </w:rPr>
              <w:t xml:space="preserve">, </w:t>
            </w:r>
            <w:proofErr w:type="spellStart"/>
            <w:r w:rsidRPr="005C31A8">
              <w:rPr>
                <w:rFonts w:asciiTheme="minorHAnsi" w:hAnsiTheme="minorHAnsi" w:cstheme="minorHAnsi"/>
                <w:bCs/>
                <w:sz w:val="20"/>
                <w:szCs w:val="20"/>
                <w:lang w:eastAsia="en-US"/>
              </w:rPr>
              <w:t>SpOC</w:t>
            </w:r>
            <w:proofErr w:type="spellEnd"/>
            <w:r w:rsidRPr="005C31A8">
              <w:rPr>
                <w:rFonts w:asciiTheme="minorHAnsi" w:hAnsiTheme="minorHAnsi" w:cstheme="minorHAnsi"/>
                <w:bCs/>
                <w:sz w:val="20"/>
                <w:szCs w:val="20"/>
                <w:lang w:eastAsia="en-US"/>
              </w:rPr>
              <w:t xml:space="preserve">) oraz parametry dodatkowe tj. </w:t>
            </w:r>
            <w:proofErr w:type="spellStart"/>
            <w:r w:rsidRPr="005C31A8">
              <w:rPr>
                <w:rFonts w:asciiTheme="minorHAnsi" w:hAnsiTheme="minorHAnsi" w:cstheme="minorHAnsi"/>
                <w:bCs/>
                <w:sz w:val="20"/>
                <w:szCs w:val="20"/>
                <w:lang w:eastAsia="en-US"/>
              </w:rPr>
              <w:t>RRa</w:t>
            </w:r>
            <w:proofErr w:type="spellEnd"/>
            <w:r w:rsidRPr="005C31A8">
              <w:rPr>
                <w:rFonts w:asciiTheme="minorHAnsi" w:hAnsiTheme="minorHAnsi" w:cstheme="minorHAnsi"/>
                <w:bCs/>
                <w:sz w:val="20"/>
                <w:szCs w:val="20"/>
                <w:lang w:eastAsia="en-US"/>
              </w:rPr>
              <w:t xml:space="preserve">, PVI. Możliwość dostępna na etapie składania oferty, dotyczy modułu transportowego oraz modułów w postaci kostki. </w:t>
            </w:r>
          </w:p>
        </w:tc>
        <w:tc>
          <w:tcPr>
            <w:tcW w:w="3012" w:type="dxa"/>
            <w:tcBorders>
              <w:top w:val="single" w:sz="4" w:space="0" w:color="auto"/>
              <w:left w:val="single" w:sz="4" w:space="0" w:color="auto"/>
              <w:bottom w:val="single" w:sz="4" w:space="0" w:color="auto"/>
              <w:right w:val="single" w:sz="4" w:space="0" w:color="auto"/>
            </w:tcBorders>
            <w:vAlign w:val="center"/>
          </w:tcPr>
          <w:p w14:paraId="7EA89FF8" w14:textId="77777777" w:rsidR="005C31A8" w:rsidRPr="005C31A8" w:rsidRDefault="005C31A8" w:rsidP="005C31A8">
            <w:pPr>
              <w:jc w:val="center"/>
              <w:rPr>
                <w:rFonts w:asciiTheme="minorHAnsi" w:hAnsiTheme="minorHAnsi" w:cstheme="minorHAnsi"/>
                <w:color w:val="000000"/>
                <w:sz w:val="20"/>
                <w:szCs w:val="20"/>
                <w:lang w:eastAsia="en-US"/>
              </w:rPr>
            </w:pPr>
            <w:r w:rsidRPr="005C31A8">
              <w:rPr>
                <w:rFonts w:asciiTheme="minorHAnsi" w:hAnsiTheme="minorHAnsi" w:cstheme="minorHAnsi"/>
                <w:color w:val="000000"/>
                <w:sz w:val="20"/>
                <w:szCs w:val="20"/>
                <w:lang w:eastAsia="en-US"/>
              </w:rPr>
              <w:t>TAK/NIE</w:t>
            </w:r>
          </w:p>
          <w:p w14:paraId="260DF757" w14:textId="77777777" w:rsidR="005C31A8" w:rsidRPr="005C31A8" w:rsidRDefault="005C31A8" w:rsidP="005C31A8">
            <w:pPr>
              <w:spacing w:line="276" w:lineRule="auto"/>
              <w:jc w:val="center"/>
              <w:rPr>
                <w:rFonts w:asciiTheme="minorHAnsi" w:hAnsiTheme="minorHAnsi" w:cstheme="minorHAnsi"/>
                <w:sz w:val="20"/>
                <w:szCs w:val="20"/>
                <w:lang w:eastAsia="en-US"/>
              </w:rPr>
            </w:pPr>
            <w:r w:rsidRPr="005C31A8">
              <w:rPr>
                <w:rFonts w:asciiTheme="minorHAnsi" w:hAnsiTheme="minorHAnsi" w:cstheme="minorHAnsi"/>
                <w:sz w:val="20"/>
                <w:szCs w:val="20"/>
                <w:lang w:eastAsia="en-US"/>
              </w:rPr>
              <w:t>Tak – 2 pkt</w:t>
            </w:r>
          </w:p>
          <w:p w14:paraId="285C7CFD" w14:textId="00D67D08" w:rsidR="005C31A8" w:rsidRPr="005C31A8" w:rsidRDefault="005C31A8" w:rsidP="005C31A8">
            <w:pPr>
              <w:pStyle w:val="Tekstpodstawowy"/>
              <w:jc w:val="center"/>
              <w:rPr>
                <w:rFonts w:asciiTheme="minorHAnsi" w:eastAsia="Calibri" w:hAnsiTheme="minorHAnsi" w:cstheme="minorHAnsi"/>
                <w:bCs/>
                <w:sz w:val="20"/>
              </w:rPr>
            </w:pPr>
            <w:r w:rsidRPr="005C31A8">
              <w:rPr>
                <w:rFonts w:asciiTheme="minorHAnsi" w:hAnsiTheme="minorHAnsi" w:cstheme="minorHAnsi"/>
                <w:sz w:val="20"/>
                <w:lang w:eastAsia="en-US"/>
              </w:rPr>
              <w:t>Nie – 0 pkt</w:t>
            </w:r>
          </w:p>
        </w:tc>
        <w:tc>
          <w:tcPr>
            <w:tcW w:w="2768" w:type="dxa"/>
            <w:shd w:val="clear" w:color="auto" w:fill="auto"/>
          </w:tcPr>
          <w:p w14:paraId="7F33C4CE"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4170865" w14:textId="77777777" w:rsidTr="005C31A8">
        <w:tc>
          <w:tcPr>
            <w:tcW w:w="1742" w:type="dxa"/>
            <w:shd w:val="clear" w:color="auto" w:fill="auto"/>
            <w:vAlign w:val="center"/>
          </w:tcPr>
          <w:p w14:paraId="105DB911" w14:textId="3F8746C4"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69179BE" w14:textId="3729B4DC" w:rsidR="005C31A8" w:rsidRPr="005C31A8" w:rsidRDefault="005C31A8" w:rsidP="005C31A8">
            <w:pPr>
              <w:pStyle w:val="Tekstpodstawowy"/>
              <w:rPr>
                <w:rFonts w:asciiTheme="minorHAnsi" w:hAnsiTheme="minorHAnsi" w:cstheme="minorHAnsi"/>
                <w:sz w:val="20"/>
              </w:rPr>
            </w:pPr>
            <w:r w:rsidRPr="005C31A8">
              <w:rPr>
                <w:rFonts w:asciiTheme="minorHAnsi" w:hAnsiTheme="minorHAnsi" w:cstheme="minorHAnsi"/>
                <w:sz w:val="20"/>
              </w:rPr>
              <w:t xml:space="preserve">Możliwość rozbudowy o certyfikowaną przez producenta bezprzewodową komunikację z centralą monitorującą (dla kardiomonitora i modułu transportowego) z obsługą standardu WMM. </w:t>
            </w:r>
          </w:p>
        </w:tc>
        <w:tc>
          <w:tcPr>
            <w:tcW w:w="3012" w:type="dxa"/>
            <w:tcBorders>
              <w:top w:val="single" w:sz="4" w:space="0" w:color="auto"/>
              <w:left w:val="single" w:sz="4" w:space="0" w:color="auto"/>
              <w:bottom w:val="single" w:sz="4" w:space="0" w:color="auto"/>
              <w:right w:val="single" w:sz="4" w:space="0" w:color="auto"/>
            </w:tcBorders>
            <w:vAlign w:val="center"/>
          </w:tcPr>
          <w:p w14:paraId="45F8738C" w14:textId="29D1158B"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sz w:val="20"/>
              </w:rPr>
              <w:t>TAK</w:t>
            </w:r>
          </w:p>
        </w:tc>
        <w:tc>
          <w:tcPr>
            <w:tcW w:w="2768" w:type="dxa"/>
            <w:shd w:val="clear" w:color="auto" w:fill="auto"/>
          </w:tcPr>
          <w:p w14:paraId="67758FB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F4F5102" w14:textId="77777777" w:rsidTr="005C31A8">
        <w:tc>
          <w:tcPr>
            <w:tcW w:w="1742" w:type="dxa"/>
            <w:shd w:val="clear" w:color="auto" w:fill="auto"/>
            <w:vAlign w:val="center"/>
          </w:tcPr>
          <w:p w14:paraId="6F8ED703" w14:textId="55344B83"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5DB6F45" w14:textId="419C3CF9" w:rsidR="005C31A8" w:rsidRPr="005C31A8" w:rsidRDefault="005C31A8" w:rsidP="005C31A8">
            <w:pPr>
              <w:pStyle w:val="Tekstpodstawowy"/>
              <w:rPr>
                <w:rFonts w:asciiTheme="minorHAnsi" w:hAnsiTheme="minorHAnsi" w:cstheme="minorHAnsi"/>
                <w:sz w:val="20"/>
              </w:rPr>
            </w:pPr>
            <w:r w:rsidRPr="005C31A8">
              <w:rPr>
                <w:rFonts w:asciiTheme="minorHAnsi" w:hAnsiTheme="minorHAnsi" w:cstheme="minorHAnsi"/>
                <w:sz w:val="20"/>
              </w:rPr>
              <w:t xml:space="preserve">Możliwość rozbudowy o funkcję zintegrowanego, bez wentylatorowego komputera klasy medycznej z niezależnym od systemu kardiomonitora systemem operacyjnym, pozwalającego na instalację własnych aplikacji Użytkownika oraz dostęp do aplikacji znajdujących się w sieci informatycznej szpitala bezpośrednio przy łóżku pacjenta. Wbudowany komputer musi posiadać niezależny port LAN oraz do 6 złączy USB do podłączania zewnętrznych urządzeń peryferyjnych. </w:t>
            </w:r>
          </w:p>
        </w:tc>
        <w:tc>
          <w:tcPr>
            <w:tcW w:w="3012" w:type="dxa"/>
            <w:tcBorders>
              <w:top w:val="single" w:sz="4" w:space="0" w:color="auto"/>
              <w:left w:val="single" w:sz="4" w:space="0" w:color="auto"/>
              <w:bottom w:val="single" w:sz="4" w:space="0" w:color="auto"/>
              <w:right w:val="single" w:sz="4" w:space="0" w:color="auto"/>
            </w:tcBorders>
            <w:vAlign w:val="center"/>
          </w:tcPr>
          <w:p w14:paraId="5E489A88" w14:textId="0FA9C618"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sz w:val="20"/>
              </w:rPr>
              <w:t>TAK, podać</w:t>
            </w:r>
          </w:p>
        </w:tc>
        <w:tc>
          <w:tcPr>
            <w:tcW w:w="2768" w:type="dxa"/>
            <w:shd w:val="clear" w:color="auto" w:fill="auto"/>
          </w:tcPr>
          <w:p w14:paraId="225D45E6"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CCD7057" w14:textId="77777777" w:rsidTr="005C31A8">
        <w:tc>
          <w:tcPr>
            <w:tcW w:w="1742" w:type="dxa"/>
            <w:shd w:val="clear" w:color="auto" w:fill="auto"/>
            <w:vAlign w:val="center"/>
          </w:tcPr>
          <w:p w14:paraId="3C131D28" w14:textId="7F213B64"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896C687" w14:textId="77777777" w:rsidR="005C31A8" w:rsidRPr="005C31A8" w:rsidRDefault="005C31A8" w:rsidP="005C31A8">
            <w:pPr>
              <w:spacing w:line="276" w:lineRule="auto"/>
              <w:rPr>
                <w:rFonts w:asciiTheme="minorHAnsi" w:hAnsiTheme="minorHAnsi" w:cstheme="minorHAnsi"/>
                <w:bCs/>
                <w:sz w:val="20"/>
                <w:szCs w:val="20"/>
                <w:lang w:eastAsia="en-US"/>
              </w:rPr>
            </w:pPr>
            <w:r w:rsidRPr="005C31A8">
              <w:rPr>
                <w:rFonts w:asciiTheme="minorHAnsi" w:hAnsiTheme="minorHAnsi" w:cstheme="minorHAnsi"/>
                <w:bCs/>
                <w:sz w:val="20"/>
                <w:szCs w:val="20"/>
                <w:lang w:eastAsia="en-US"/>
              </w:rPr>
              <w:t>System powiadamiania o zdarzenia z możliwością zarządzania na poziomie całego szpitala. Powyższy system powiadomienia o zdarzeniach wyposażony w:</w:t>
            </w:r>
          </w:p>
          <w:p w14:paraId="4B4B3190" w14:textId="77777777" w:rsidR="005C31A8" w:rsidRPr="005C31A8" w:rsidRDefault="005C31A8" w:rsidP="005C31A8">
            <w:pPr>
              <w:pStyle w:val="Akapitzlist"/>
              <w:numPr>
                <w:ilvl w:val="0"/>
                <w:numId w:val="44"/>
              </w:numPr>
              <w:spacing w:line="276" w:lineRule="auto"/>
              <w:ind w:left="256" w:hanging="256"/>
              <w:contextualSpacing/>
              <w:rPr>
                <w:rFonts w:asciiTheme="minorHAnsi" w:hAnsiTheme="minorHAnsi" w:cstheme="minorHAnsi"/>
                <w:bCs/>
                <w:sz w:val="20"/>
                <w:szCs w:val="20"/>
                <w:lang w:eastAsia="en-US"/>
              </w:rPr>
            </w:pPr>
            <w:r w:rsidRPr="005C31A8">
              <w:rPr>
                <w:rFonts w:asciiTheme="minorHAnsi" w:hAnsiTheme="minorHAnsi" w:cstheme="minorHAnsi"/>
                <w:bCs/>
                <w:sz w:val="20"/>
                <w:szCs w:val="20"/>
                <w:lang w:eastAsia="en-US"/>
              </w:rPr>
              <w:t>Monitor zdarzeń, który daje łatwy dostęp do stanu zdarzeń za pomocą scentralizowanego widoku pulpitu na stacji roboczej.</w:t>
            </w:r>
          </w:p>
          <w:p w14:paraId="1EB9395B" w14:textId="77777777" w:rsidR="005C31A8" w:rsidRPr="005C31A8" w:rsidRDefault="005C31A8" w:rsidP="005C31A8">
            <w:pPr>
              <w:pStyle w:val="Akapitzlist"/>
              <w:numPr>
                <w:ilvl w:val="0"/>
                <w:numId w:val="44"/>
              </w:numPr>
              <w:spacing w:line="276" w:lineRule="auto"/>
              <w:ind w:left="256" w:hanging="256"/>
              <w:contextualSpacing/>
              <w:rPr>
                <w:rFonts w:asciiTheme="minorHAnsi" w:hAnsiTheme="minorHAnsi" w:cstheme="minorHAnsi"/>
                <w:bCs/>
                <w:sz w:val="20"/>
                <w:szCs w:val="20"/>
                <w:lang w:eastAsia="en-US"/>
              </w:rPr>
            </w:pPr>
            <w:r w:rsidRPr="005C31A8">
              <w:rPr>
                <w:rFonts w:asciiTheme="minorHAnsi" w:hAnsiTheme="minorHAnsi" w:cstheme="minorHAnsi"/>
                <w:bCs/>
                <w:sz w:val="20"/>
                <w:szCs w:val="20"/>
                <w:lang w:eastAsia="en-US"/>
              </w:rPr>
              <w:t>Moduł przypisywania personelu na postawie ról umożliwia przydział personelu według łóżek z uwzględnieniem indywidualnego charakteru pracy na danym oddziale. Dostęp do modułu przypisywania personelu opieki można uzyskać z poziomu systemu nadzory, stacji roboczej lub dedykowanej aplikacji na urządzenia mobilne</w:t>
            </w:r>
          </w:p>
          <w:p w14:paraId="4452638B" w14:textId="42DA1BF2" w:rsidR="005C31A8" w:rsidRPr="005C31A8" w:rsidRDefault="005C31A8" w:rsidP="005C31A8">
            <w:pPr>
              <w:pStyle w:val="Tekstpodstawowy"/>
              <w:rPr>
                <w:rFonts w:asciiTheme="minorHAnsi" w:hAnsiTheme="minorHAnsi" w:cstheme="minorHAnsi"/>
                <w:sz w:val="20"/>
              </w:rPr>
            </w:pPr>
            <w:r w:rsidRPr="005C31A8">
              <w:rPr>
                <w:rFonts w:asciiTheme="minorHAnsi" w:hAnsiTheme="minorHAnsi" w:cstheme="minorHAnsi"/>
                <w:bCs/>
                <w:sz w:val="20"/>
                <w:lang w:eastAsia="en-US"/>
              </w:rPr>
              <w:t>Informacje o zdarzeniach mogą być przekazywane użytkownikowi ręcznie lub automatycznie – według wstępnie zdefiniowanej śnieżki eskalacji, po upływie określonego czasu i bez reakcji ze strony użytkownika.</w:t>
            </w:r>
            <w:r w:rsidRPr="005C31A8">
              <w:rPr>
                <w:rFonts w:asciiTheme="minorHAnsi" w:hAnsiTheme="minorHAnsi" w:cstheme="minorHAnsi"/>
                <w:color w:val="000000" w:themeColor="text1"/>
                <w:sz w:val="20"/>
              </w:rPr>
              <w:t xml:space="preserve">  </w:t>
            </w:r>
          </w:p>
        </w:tc>
        <w:tc>
          <w:tcPr>
            <w:tcW w:w="3012" w:type="dxa"/>
            <w:tcBorders>
              <w:top w:val="single" w:sz="4" w:space="0" w:color="auto"/>
              <w:left w:val="single" w:sz="4" w:space="0" w:color="auto"/>
              <w:bottom w:val="single" w:sz="4" w:space="0" w:color="auto"/>
              <w:right w:val="single" w:sz="4" w:space="0" w:color="auto"/>
            </w:tcBorders>
            <w:vAlign w:val="center"/>
          </w:tcPr>
          <w:p w14:paraId="6BFF567E" w14:textId="77777777"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TAK/NIE</w:t>
            </w:r>
          </w:p>
          <w:p w14:paraId="3DA619AF" w14:textId="77777777" w:rsidR="005C31A8" w:rsidRPr="005C31A8" w:rsidRDefault="005C31A8" w:rsidP="005C31A8">
            <w:pPr>
              <w:spacing w:line="276" w:lineRule="auto"/>
              <w:jc w:val="center"/>
              <w:rPr>
                <w:rFonts w:asciiTheme="minorHAnsi" w:hAnsiTheme="minorHAnsi" w:cstheme="minorHAnsi"/>
                <w:sz w:val="20"/>
                <w:szCs w:val="20"/>
                <w:lang w:eastAsia="en-US"/>
              </w:rPr>
            </w:pPr>
            <w:r w:rsidRPr="005C31A8">
              <w:rPr>
                <w:rFonts w:asciiTheme="minorHAnsi" w:hAnsiTheme="minorHAnsi" w:cstheme="minorHAnsi"/>
                <w:sz w:val="20"/>
                <w:szCs w:val="20"/>
                <w:lang w:eastAsia="en-US"/>
              </w:rPr>
              <w:t>Tak – 5 pkt</w:t>
            </w:r>
          </w:p>
          <w:p w14:paraId="27C1A76F" w14:textId="2834166F" w:rsidR="005C31A8" w:rsidRPr="005C31A8" w:rsidRDefault="005C31A8" w:rsidP="005C31A8">
            <w:pPr>
              <w:pStyle w:val="Tekstpodstawowy"/>
              <w:jc w:val="center"/>
              <w:rPr>
                <w:rFonts w:asciiTheme="minorHAnsi" w:hAnsiTheme="minorHAnsi" w:cstheme="minorHAnsi"/>
                <w:sz w:val="20"/>
              </w:rPr>
            </w:pPr>
            <w:r w:rsidRPr="005C31A8">
              <w:rPr>
                <w:rFonts w:asciiTheme="minorHAnsi" w:hAnsiTheme="minorHAnsi" w:cstheme="minorHAnsi"/>
                <w:sz w:val="20"/>
                <w:lang w:eastAsia="en-US"/>
              </w:rPr>
              <w:t>Nie – 0 pkt</w:t>
            </w:r>
          </w:p>
        </w:tc>
        <w:tc>
          <w:tcPr>
            <w:tcW w:w="2768" w:type="dxa"/>
            <w:shd w:val="clear" w:color="auto" w:fill="auto"/>
          </w:tcPr>
          <w:p w14:paraId="4B41224B"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E79C21F" w14:textId="77777777" w:rsidTr="005C31A8">
        <w:tc>
          <w:tcPr>
            <w:tcW w:w="1742" w:type="dxa"/>
            <w:shd w:val="clear" w:color="auto" w:fill="auto"/>
            <w:vAlign w:val="center"/>
          </w:tcPr>
          <w:p w14:paraId="281F75B8" w14:textId="714D5B37"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9F3CDE9" w14:textId="3FB14457" w:rsidR="005C31A8" w:rsidRPr="005C31A8" w:rsidRDefault="005C31A8" w:rsidP="005C31A8">
            <w:pPr>
              <w:pStyle w:val="Tekstpodstawowy"/>
              <w:rPr>
                <w:rFonts w:asciiTheme="minorHAnsi" w:hAnsiTheme="minorHAnsi" w:cstheme="minorHAnsi"/>
                <w:iCs/>
                <w:sz w:val="20"/>
              </w:rPr>
            </w:pPr>
            <w:r w:rsidRPr="005C31A8">
              <w:rPr>
                <w:rFonts w:asciiTheme="minorHAnsi" w:hAnsiTheme="minorHAnsi" w:cstheme="minorHAnsi"/>
                <w:sz w:val="20"/>
              </w:rPr>
              <w:t xml:space="preserve">Monitor posiada możliwość rozbudowy o opcję, która pozwala na podłączenie do min. 4 urządzeń zewnętrznych w tym: pomp, respiratorów, monitorów hemodynamicznych, aparatów do znieczulania, urządzeń do hemodializy, inkubatorów oraz specjalistycznych monitorów np. do kalorymetrii. Prezentacja wybranych krzywych, parametrów cyfrowych na ekranie kardiomonitora oraz identyfikacja alarmów. W przypadku kardiomonitora podłączonego do centralnego monitorowania obsługa danych w systemie elektronicznej dokumentacji medycznej. </w:t>
            </w:r>
          </w:p>
        </w:tc>
        <w:tc>
          <w:tcPr>
            <w:tcW w:w="3012" w:type="dxa"/>
            <w:tcBorders>
              <w:top w:val="single" w:sz="4" w:space="0" w:color="auto"/>
              <w:left w:val="single" w:sz="4" w:space="0" w:color="auto"/>
              <w:bottom w:val="single" w:sz="4" w:space="0" w:color="auto"/>
              <w:right w:val="single" w:sz="4" w:space="0" w:color="auto"/>
            </w:tcBorders>
            <w:vAlign w:val="center"/>
          </w:tcPr>
          <w:p w14:paraId="792F5B14" w14:textId="6AA4EA8C" w:rsidR="005C31A8" w:rsidRPr="005C31A8" w:rsidRDefault="005C31A8" w:rsidP="005C31A8">
            <w:pPr>
              <w:pStyle w:val="Tekstpodstawowy"/>
              <w:jc w:val="center"/>
              <w:rPr>
                <w:rFonts w:asciiTheme="minorHAnsi" w:hAnsiTheme="minorHAnsi" w:cstheme="minorHAnsi"/>
                <w:sz w:val="20"/>
              </w:rPr>
            </w:pPr>
            <w:r w:rsidRPr="005C31A8">
              <w:rPr>
                <w:rFonts w:asciiTheme="minorHAnsi" w:hAnsiTheme="minorHAnsi" w:cstheme="minorHAnsi"/>
                <w:color w:val="000000"/>
                <w:sz w:val="20"/>
              </w:rPr>
              <w:t>TAK</w:t>
            </w:r>
          </w:p>
        </w:tc>
        <w:tc>
          <w:tcPr>
            <w:tcW w:w="2768" w:type="dxa"/>
            <w:shd w:val="clear" w:color="auto" w:fill="auto"/>
          </w:tcPr>
          <w:p w14:paraId="28C5FCA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2802F03" w14:textId="77777777" w:rsidTr="005C31A8">
        <w:tc>
          <w:tcPr>
            <w:tcW w:w="1742" w:type="dxa"/>
            <w:shd w:val="clear" w:color="auto" w:fill="auto"/>
            <w:vAlign w:val="center"/>
          </w:tcPr>
          <w:p w14:paraId="22977212" w14:textId="53C6E77B"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159EEDEE" w14:textId="77777777" w:rsidR="005C31A8" w:rsidRPr="005C31A8" w:rsidRDefault="005C31A8" w:rsidP="005C31A8">
            <w:pPr>
              <w:autoSpaceDE w:val="0"/>
              <w:autoSpaceDN w:val="0"/>
              <w:adjustRightInd w:val="0"/>
              <w:spacing w:line="276" w:lineRule="auto"/>
              <w:rPr>
                <w:rFonts w:asciiTheme="minorHAnsi" w:hAnsiTheme="minorHAnsi" w:cstheme="minorHAnsi"/>
                <w:sz w:val="20"/>
                <w:szCs w:val="20"/>
                <w:lang w:eastAsia="en-US"/>
              </w:rPr>
            </w:pPr>
            <w:r w:rsidRPr="005C31A8">
              <w:rPr>
                <w:rFonts w:asciiTheme="minorHAnsi" w:hAnsiTheme="minorHAnsi" w:cstheme="minorHAnsi"/>
                <w:sz w:val="20"/>
                <w:szCs w:val="20"/>
                <w:lang w:eastAsia="en-US"/>
              </w:rPr>
              <w:t>Możliwość przyszłej rozbudowy o co najmniej następujące parametry pomiarowe z obsługą z ekranu głównego kardiomonitora:</w:t>
            </w:r>
          </w:p>
          <w:p w14:paraId="0D1A7285"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Pomiar temperatury (do min. 4)</w:t>
            </w:r>
          </w:p>
          <w:p w14:paraId="4AA80E7D"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 xml:space="preserve">EEG / </w:t>
            </w:r>
            <w:proofErr w:type="spellStart"/>
            <w:r w:rsidRPr="005C31A8">
              <w:rPr>
                <w:rFonts w:asciiTheme="minorHAnsi" w:hAnsiTheme="minorHAnsi" w:cstheme="minorHAnsi"/>
                <w:sz w:val="20"/>
                <w:szCs w:val="20"/>
                <w:lang w:eastAsia="en-US"/>
              </w:rPr>
              <w:t>aEEG</w:t>
            </w:r>
            <w:proofErr w:type="spellEnd"/>
          </w:p>
          <w:p w14:paraId="2C40B7C4"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lastRenderedPageBreak/>
              <w:t xml:space="preserve">Rzut serca </w:t>
            </w:r>
            <w:proofErr w:type="spellStart"/>
            <w:r w:rsidRPr="005C31A8">
              <w:rPr>
                <w:rFonts w:asciiTheme="minorHAnsi" w:hAnsiTheme="minorHAnsi" w:cstheme="minorHAnsi"/>
                <w:sz w:val="20"/>
                <w:szCs w:val="20"/>
                <w:lang w:eastAsia="en-US"/>
              </w:rPr>
              <w:t>Picco</w:t>
            </w:r>
            <w:proofErr w:type="spellEnd"/>
            <w:r w:rsidRPr="005C31A8">
              <w:rPr>
                <w:rFonts w:asciiTheme="minorHAnsi" w:hAnsiTheme="minorHAnsi" w:cstheme="minorHAnsi"/>
                <w:sz w:val="20"/>
                <w:szCs w:val="20"/>
                <w:lang w:eastAsia="en-US"/>
              </w:rPr>
              <w:t xml:space="preserve"> oraz C.O. </w:t>
            </w:r>
            <w:proofErr w:type="spellStart"/>
            <w:r w:rsidRPr="005C31A8">
              <w:rPr>
                <w:rFonts w:asciiTheme="minorHAnsi" w:hAnsiTheme="minorHAnsi" w:cstheme="minorHAnsi"/>
                <w:sz w:val="20"/>
                <w:szCs w:val="20"/>
                <w:lang w:eastAsia="en-US"/>
              </w:rPr>
              <w:t>Swana-Ganza</w:t>
            </w:r>
            <w:proofErr w:type="spellEnd"/>
          </w:p>
          <w:p w14:paraId="49D69253"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Moduł gazów anestetycznych z pomiarem tlenu paramagnetycznego oraz 2 anestetyków jednocześnie</w:t>
            </w:r>
          </w:p>
          <w:p w14:paraId="47B855DD"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Moduł drukarki termicznej</w:t>
            </w:r>
          </w:p>
          <w:p w14:paraId="05C2E5B7"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Zwiotczenie mięśni NMT</w:t>
            </w:r>
          </w:p>
          <w:p w14:paraId="20F35C93" w14:textId="77777777" w:rsidR="005C31A8" w:rsidRPr="005C31A8" w:rsidRDefault="005C31A8" w:rsidP="005C31A8">
            <w:pPr>
              <w:pStyle w:val="Akapitzlist"/>
              <w:numPr>
                <w:ilvl w:val="0"/>
                <w:numId w:val="45"/>
              </w:numPr>
              <w:suppressAutoHyphens/>
              <w:autoSpaceDE w:val="0"/>
              <w:autoSpaceDN w:val="0"/>
              <w:adjustRightInd w:val="0"/>
              <w:spacing w:line="276" w:lineRule="auto"/>
              <w:contextualSpacing/>
              <w:textAlignment w:val="baseline"/>
              <w:rPr>
                <w:rFonts w:asciiTheme="minorHAnsi" w:hAnsiTheme="minorHAnsi" w:cstheme="minorHAnsi"/>
                <w:sz w:val="20"/>
                <w:szCs w:val="20"/>
                <w:lang w:eastAsia="en-US"/>
              </w:rPr>
            </w:pPr>
            <w:r w:rsidRPr="005C31A8">
              <w:rPr>
                <w:rFonts w:asciiTheme="minorHAnsi" w:hAnsiTheme="minorHAnsi" w:cstheme="minorHAnsi"/>
                <w:sz w:val="20"/>
                <w:szCs w:val="20"/>
                <w:lang w:eastAsia="en-US"/>
              </w:rPr>
              <w:t xml:space="preserve">BIS / </w:t>
            </w:r>
            <w:proofErr w:type="spellStart"/>
            <w:r w:rsidRPr="005C31A8">
              <w:rPr>
                <w:rFonts w:asciiTheme="minorHAnsi" w:hAnsiTheme="minorHAnsi" w:cstheme="minorHAnsi"/>
                <w:sz w:val="20"/>
                <w:szCs w:val="20"/>
                <w:lang w:eastAsia="en-US"/>
              </w:rPr>
              <w:t>SedLine</w:t>
            </w:r>
            <w:proofErr w:type="spellEnd"/>
          </w:p>
          <w:p w14:paraId="26FFEED0" w14:textId="333324A2"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lang w:eastAsia="en-US"/>
              </w:rPr>
              <w:t>Oksymetria mózgowa O3</w:t>
            </w:r>
          </w:p>
        </w:tc>
        <w:tc>
          <w:tcPr>
            <w:tcW w:w="3012" w:type="dxa"/>
            <w:tcBorders>
              <w:top w:val="single" w:sz="4" w:space="0" w:color="auto"/>
              <w:left w:val="single" w:sz="4" w:space="0" w:color="auto"/>
              <w:bottom w:val="single" w:sz="4" w:space="0" w:color="auto"/>
              <w:right w:val="single" w:sz="4" w:space="0" w:color="auto"/>
            </w:tcBorders>
            <w:vAlign w:val="center"/>
          </w:tcPr>
          <w:p w14:paraId="437965F9" w14:textId="4750C7D0" w:rsidR="005C31A8" w:rsidRPr="005C31A8" w:rsidRDefault="005C31A8" w:rsidP="005C31A8">
            <w:pPr>
              <w:pStyle w:val="Tekstpodstawowy"/>
              <w:jc w:val="center"/>
              <w:rPr>
                <w:rFonts w:asciiTheme="minorHAnsi" w:hAnsiTheme="minorHAnsi" w:cstheme="minorHAnsi"/>
                <w:sz w:val="20"/>
              </w:rPr>
            </w:pPr>
            <w:r w:rsidRPr="005C31A8">
              <w:rPr>
                <w:rFonts w:asciiTheme="minorHAnsi" w:hAnsiTheme="minorHAnsi" w:cstheme="minorHAnsi"/>
                <w:color w:val="000000"/>
                <w:sz w:val="20"/>
              </w:rPr>
              <w:lastRenderedPageBreak/>
              <w:t>TAK, podać</w:t>
            </w:r>
          </w:p>
        </w:tc>
        <w:tc>
          <w:tcPr>
            <w:tcW w:w="2768" w:type="dxa"/>
            <w:shd w:val="clear" w:color="auto" w:fill="auto"/>
          </w:tcPr>
          <w:p w14:paraId="2349D514"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E6906BD" w14:textId="77777777" w:rsidTr="005C31A8">
        <w:tc>
          <w:tcPr>
            <w:tcW w:w="1742" w:type="dxa"/>
            <w:shd w:val="clear" w:color="auto" w:fill="auto"/>
            <w:vAlign w:val="center"/>
          </w:tcPr>
          <w:p w14:paraId="74643D53" w14:textId="010E5FEA"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4918593" w14:textId="6636581D"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lang w:eastAsia="en-US"/>
              </w:rPr>
              <w:t xml:space="preserve">Możliwość rozbudowy o pilot zdalnego sterowania z dedykowanym pokrętłem oraz klawiaturą numeryczną. </w:t>
            </w:r>
          </w:p>
        </w:tc>
        <w:tc>
          <w:tcPr>
            <w:tcW w:w="3012" w:type="dxa"/>
            <w:tcBorders>
              <w:top w:val="single" w:sz="4" w:space="0" w:color="auto"/>
              <w:left w:val="single" w:sz="4" w:space="0" w:color="auto"/>
              <w:bottom w:val="single" w:sz="4" w:space="0" w:color="auto"/>
              <w:right w:val="single" w:sz="4" w:space="0" w:color="auto"/>
            </w:tcBorders>
            <w:vAlign w:val="center"/>
          </w:tcPr>
          <w:p w14:paraId="1DBE2BF3" w14:textId="0584C55C"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color w:val="000000"/>
                <w:sz w:val="20"/>
              </w:rPr>
              <w:t>TAK</w:t>
            </w:r>
          </w:p>
        </w:tc>
        <w:tc>
          <w:tcPr>
            <w:tcW w:w="2768" w:type="dxa"/>
            <w:shd w:val="clear" w:color="auto" w:fill="auto"/>
          </w:tcPr>
          <w:p w14:paraId="23A8D11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6749DDE" w14:textId="77777777" w:rsidTr="005C31A8">
        <w:tc>
          <w:tcPr>
            <w:tcW w:w="1742" w:type="dxa"/>
            <w:shd w:val="clear" w:color="auto" w:fill="auto"/>
            <w:vAlign w:val="center"/>
          </w:tcPr>
          <w:p w14:paraId="64D65C66" w14:textId="51941025"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0EA38ED2" w14:textId="7A30AD2D"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Możliwość rozbudowy o moduł lub urządzenie zewnętrzne umożliwiające </w:t>
            </w:r>
            <w:r w:rsidRPr="005C31A8">
              <w:rPr>
                <w:rFonts w:asciiTheme="minorHAnsi" w:hAnsiTheme="minorHAnsi" w:cstheme="minorHAnsi"/>
                <w:b/>
                <w:bCs/>
                <w:sz w:val="20"/>
                <w:szCs w:val="20"/>
              </w:rPr>
              <w:t>pomiaru bólu</w:t>
            </w:r>
            <w:r w:rsidRPr="005C31A8">
              <w:rPr>
                <w:rFonts w:asciiTheme="minorHAnsi" w:hAnsiTheme="minorHAnsi" w:cstheme="minorHAnsi"/>
                <w:sz w:val="20"/>
                <w:szCs w:val="20"/>
              </w:rPr>
              <w:t xml:space="preserve">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hemodynamicznej lub oddechowej. </w:t>
            </w:r>
          </w:p>
        </w:tc>
        <w:tc>
          <w:tcPr>
            <w:tcW w:w="3012" w:type="dxa"/>
            <w:tcBorders>
              <w:top w:val="single" w:sz="4" w:space="0" w:color="auto"/>
              <w:left w:val="single" w:sz="4" w:space="0" w:color="auto"/>
              <w:bottom w:val="single" w:sz="4" w:space="0" w:color="auto"/>
              <w:right w:val="single" w:sz="4" w:space="0" w:color="auto"/>
            </w:tcBorders>
            <w:vAlign w:val="center"/>
          </w:tcPr>
          <w:p w14:paraId="52646EB1"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w:t>
            </w:r>
          </w:p>
          <w:p w14:paraId="71F751DE" w14:textId="7777777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Pomiar wszystkich grup wiekowych: TAK – 3 pkt</w:t>
            </w:r>
          </w:p>
          <w:p w14:paraId="33AAD8FE" w14:textId="380C9C1F" w:rsidR="005C31A8" w:rsidRPr="005C31A8" w:rsidRDefault="005C31A8" w:rsidP="005C31A8">
            <w:pPr>
              <w:pStyle w:val="Tekstpodstawowy"/>
              <w:jc w:val="center"/>
              <w:rPr>
                <w:rFonts w:asciiTheme="minorHAnsi" w:hAnsiTheme="minorHAnsi" w:cstheme="minorHAnsi"/>
                <w:bCs/>
                <w:sz w:val="20"/>
              </w:rPr>
            </w:pPr>
            <w:r w:rsidRPr="005C31A8">
              <w:rPr>
                <w:rFonts w:asciiTheme="minorHAnsi" w:hAnsiTheme="minorHAnsi" w:cstheme="minorHAnsi"/>
                <w:sz w:val="20"/>
              </w:rPr>
              <w:t>NIE – 0 pkt</w:t>
            </w:r>
          </w:p>
        </w:tc>
        <w:tc>
          <w:tcPr>
            <w:tcW w:w="2768" w:type="dxa"/>
            <w:shd w:val="clear" w:color="auto" w:fill="auto"/>
          </w:tcPr>
          <w:p w14:paraId="3C5365C9"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12ABFEC" w14:textId="77777777" w:rsidTr="005C31A8">
        <w:tc>
          <w:tcPr>
            <w:tcW w:w="1742" w:type="dxa"/>
            <w:shd w:val="clear" w:color="auto" w:fill="D9D9D9" w:themeFill="background1" w:themeFillShade="D9"/>
            <w:vAlign w:val="center"/>
          </w:tcPr>
          <w:p w14:paraId="52ADC053" w14:textId="77777777"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B81CA5" w14:textId="00118DD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b/>
                <w:bCs/>
                <w:sz w:val="20"/>
                <w:szCs w:val="20"/>
              </w:rPr>
              <w:t>Akcesoria oraz wyposażenie:</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2FE6BF" w14:textId="1CEBDD94" w:rsidR="005C31A8" w:rsidRPr="005C31A8" w:rsidRDefault="005C31A8" w:rsidP="005C31A8">
            <w:pPr>
              <w:jc w:val="center"/>
              <w:rPr>
                <w:rFonts w:asciiTheme="minorHAnsi" w:hAnsiTheme="minorHAnsi" w:cstheme="minorHAnsi"/>
                <w:sz w:val="20"/>
                <w:szCs w:val="20"/>
              </w:rPr>
            </w:pPr>
          </w:p>
        </w:tc>
        <w:tc>
          <w:tcPr>
            <w:tcW w:w="2768" w:type="dxa"/>
            <w:shd w:val="clear" w:color="auto" w:fill="D9D9D9" w:themeFill="background1" w:themeFillShade="D9"/>
          </w:tcPr>
          <w:p w14:paraId="50B3EA2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AEBEEF6" w14:textId="77777777" w:rsidTr="005C31A8">
        <w:tc>
          <w:tcPr>
            <w:tcW w:w="1742" w:type="dxa"/>
            <w:shd w:val="clear" w:color="auto" w:fill="auto"/>
            <w:vAlign w:val="center"/>
          </w:tcPr>
          <w:p w14:paraId="09FAFB40" w14:textId="77777777"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83B2CC1" w14:textId="77777777" w:rsidR="005C31A8" w:rsidRPr="005C31A8" w:rsidRDefault="005C31A8" w:rsidP="005C31A8">
            <w:pPr>
              <w:autoSpaceDE w:val="0"/>
              <w:autoSpaceDN w:val="0"/>
              <w:adjustRightInd w:val="0"/>
              <w:rPr>
                <w:rFonts w:asciiTheme="minorHAnsi" w:hAnsiTheme="minorHAnsi" w:cstheme="minorHAnsi"/>
                <w:b/>
                <w:bCs/>
                <w:sz w:val="20"/>
                <w:szCs w:val="20"/>
              </w:rPr>
            </w:pPr>
            <w:r w:rsidRPr="005C31A8">
              <w:rPr>
                <w:rFonts w:asciiTheme="minorHAnsi" w:hAnsiTheme="minorHAnsi" w:cstheme="minorHAnsi"/>
                <w:b/>
                <w:bCs/>
                <w:sz w:val="20"/>
                <w:szCs w:val="20"/>
              </w:rPr>
              <w:t>Każdy kardiomonitor musi posiadać:</w:t>
            </w:r>
          </w:p>
          <w:p w14:paraId="7130DCB3"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xml:space="preserve">- 1x wielorazowy przewód główny EKG 3- lub 5- lub 6-odpr. + odprowadzenia wielorazowe </w:t>
            </w:r>
          </w:p>
          <w:p w14:paraId="7A8FB124"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- 1x wielorazowy przewód główny EKG 10-odpr. + odprowadzenia podsercowe</w:t>
            </w:r>
          </w:p>
          <w:p w14:paraId="758BA47E"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-1x wielorazowy przewód do podłączenia mankietów do nieinwazyjnego pomiaru ciśnienia krwi</w:t>
            </w:r>
          </w:p>
          <w:p w14:paraId="09325DB4"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- 1x zestaw wielorazowych mankietów dla dorosłych (3 rozmiary)</w:t>
            </w:r>
          </w:p>
          <w:p w14:paraId="6C417377"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- 1x czujnik saturacji dla dorosłych/dzieci wielorazowy</w:t>
            </w:r>
          </w:p>
          <w:p w14:paraId="25F79B76" w14:textId="77777777"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- 1x czujnik temperatury wielorazowy (do wyboru)</w:t>
            </w:r>
          </w:p>
          <w:p w14:paraId="7C8580B1" w14:textId="2713C1D4" w:rsidR="005C31A8" w:rsidRPr="005C31A8" w:rsidRDefault="005C31A8" w:rsidP="005C31A8">
            <w:pPr>
              <w:rPr>
                <w:rFonts w:asciiTheme="minorHAnsi" w:hAnsiTheme="minorHAnsi" w:cstheme="minorHAnsi"/>
                <w:b/>
                <w:bCs/>
                <w:sz w:val="20"/>
                <w:szCs w:val="20"/>
              </w:rPr>
            </w:pPr>
            <w:r w:rsidRPr="005C31A8">
              <w:rPr>
                <w:rFonts w:asciiTheme="minorHAnsi" w:hAnsiTheme="minorHAnsi" w:cstheme="minorHAnsi"/>
                <w:sz w:val="20"/>
                <w:szCs w:val="20"/>
              </w:rPr>
              <w:t>- 1x przewód do ciśnienia krwawego do wybranych przetworników.</w:t>
            </w:r>
          </w:p>
        </w:tc>
        <w:tc>
          <w:tcPr>
            <w:tcW w:w="3012" w:type="dxa"/>
            <w:tcBorders>
              <w:top w:val="single" w:sz="4" w:space="0" w:color="auto"/>
              <w:left w:val="single" w:sz="4" w:space="0" w:color="auto"/>
              <w:bottom w:val="single" w:sz="4" w:space="0" w:color="auto"/>
              <w:right w:val="single" w:sz="4" w:space="0" w:color="auto"/>
            </w:tcBorders>
            <w:vAlign w:val="center"/>
          </w:tcPr>
          <w:p w14:paraId="28A6FA37" w14:textId="3BFFB231"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28D9E9D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796E0D47" w14:textId="77777777" w:rsidTr="005C31A8">
        <w:tc>
          <w:tcPr>
            <w:tcW w:w="1742" w:type="dxa"/>
            <w:shd w:val="clear" w:color="auto" w:fill="auto"/>
            <w:vAlign w:val="center"/>
          </w:tcPr>
          <w:p w14:paraId="0563FBD3" w14:textId="77777777"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0E005EF2" w14:textId="77777777" w:rsidR="005C31A8" w:rsidRPr="005C31A8" w:rsidRDefault="005C31A8" w:rsidP="005C31A8">
            <w:pPr>
              <w:autoSpaceDE w:val="0"/>
              <w:autoSpaceDN w:val="0"/>
              <w:adjustRightInd w:val="0"/>
              <w:rPr>
                <w:rFonts w:asciiTheme="minorHAnsi" w:hAnsiTheme="minorHAnsi" w:cstheme="minorHAnsi"/>
                <w:b/>
                <w:bCs/>
                <w:sz w:val="20"/>
                <w:szCs w:val="20"/>
                <w:lang w:eastAsia="en-US"/>
              </w:rPr>
            </w:pPr>
            <w:r w:rsidRPr="005C31A8">
              <w:rPr>
                <w:rFonts w:asciiTheme="minorHAnsi" w:hAnsiTheme="minorHAnsi" w:cstheme="minorHAnsi"/>
                <w:b/>
                <w:bCs/>
                <w:sz w:val="20"/>
                <w:szCs w:val="20"/>
                <w:lang w:eastAsia="en-US"/>
              </w:rPr>
              <w:t xml:space="preserve">Dodatkowe akcesoria dla całego zestawu: </w:t>
            </w:r>
          </w:p>
          <w:p w14:paraId="3F473105" w14:textId="77777777" w:rsidR="005C31A8" w:rsidRPr="005C31A8" w:rsidRDefault="005C31A8" w:rsidP="005C31A8">
            <w:pPr>
              <w:autoSpaceDE w:val="0"/>
              <w:autoSpaceDN w:val="0"/>
              <w:adjustRightInd w:val="0"/>
              <w:rPr>
                <w:rFonts w:asciiTheme="minorHAnsi" w:hAnsiTheme="minorHAnsi" w:cstheme="minorHAnsi"/>
                <w:sz w:val="20"/>
                <w:szCs w:val="20"/>
                <w:lang w:eastAsia="en-US"/>
              </w:rPr>
            </w:pPr>
            <w:r w:rsidRPr="005C31A8">
              <w:rPr>
                <w:rFonts w:asciiTheme="minorHAnsi" w:hAnsiTheme="minorHAnsi" w:cstheme="minorHAnsi"/>
                <w:sz w:val="20"/>
                <w:szCs w:val="20"/>
                <w:lang w:eastAsia="en-US"/>
              </w:rPr>
              <w:t>- 2x przenośny uchwyt dla modułu transportowego z możliwością zawieszenia na ramie łóżka</w:t>
            </w:r>
          </w:p>
          <w:p w14:paraId="2930751E" w14:textId="77777777" w:rsidR="005C31A8" w:rsidRPr="005C31A8" w:rsidRDefault="005C31A8" w:rsidP="005C31A8">
            <w:pPr>
              <w:autoSpaceDE w:val="0"/>
              <w:autoSpaceDN w:val="0"/>
              <w:adjustRightInd w:val="0"/>
              <w:rPr>
                <w:rFonts w:asciiTheme="minorHAnsi" w:hAnsiTheme="minorHAnsi" w:cstheme="minorHAnsi"/>
                <w:sz w:val="20"/>
                <w:szCs w:val="20"/>
                <w:lang w:eastAsia="en-US"/>
              </w:rPr>
            </w:pPr>
            <w:r w:rsidRPr="005C31A8">
              <w:rPr>
                <w:rFonts w:asciiTheme="minorHAnsi" w:hAnsiTheme="minorHAnsi" w:cstheme="minorHAnsi"/>
                <w:sz w:val="20"/>
                <w:szCs w:val="20"/>
                <w:lang w:eastAsia="en-US"/>
              </w:rPr>
              <w:t>- 5x mankiet udowy</w:t>
            </w:r>
          </w:p>
          <w:p w14:paraId="67C07CB5" w14:textId="4309D3BE" w:rsidR="005C31A8" w:rsidRPr="005C31A8" w:rsidRDefault="005C31A8" w:rsidP="005C31A8">
            <w:pPr>
              <w:autoSpaceDE w:val="0"/>
              <w:autoSpaceDN w:val="0"/>
              <w:adjustRightInd w:val="0"/>
              <w:rPr>
                <w:rFonts w:asciiTheme="minorHAnsi" w:hAnsiTheme="minorHAnsi" w:cstheme="minorHAnsi"/>
                <w:b/>
                <w:bCs/>
                <w:sz w:val="20"/>
                <w:szCs w:val="20"/>
              </w:rPr>
            </w:pPr>
            <w:r w:rsidRPr="005C31A8">
              <w:rPr>
                <w:rFonts w:asciiTheme="minorHAnsi" w:hAnsiTheme="minorHAnsi" w:cstheme="minorHAnsi"/>
                <w:sz w:val="20"/>
                <w:szCs w:val="20"/>
                <w:lang w:eastAsia="en-US"/>
              </w:rPr>
              <w:t xml:space="preserve">- 5x sensor temperatury </w:t>
            </w:r>
            <w:proofErr w:type="spellStart"/>
            <w:r w:rsidRPr="005C31A8">
              <w:rPr>
                <w:rFonts w:asciiTheme="minorHAnsi" w:hAnsiTheme="minorHAnsi" w:cstheme="minorHAnsi"/>
                <w:sz w:val="20"/>
                <w:szCs w:val="20"/>
                <w:lang w:eastAsia="en-US"/>
              </w:rPr>
              <w:t>rektalnej</w:t>
            </w:r>
            <w:proofErr w:type="spellEnd"/>
            <w:r w:rsidRPr="005C31A8">
              <w:rPr>
                <w:rFonts w:asciiTheme="minorHAnsi" w:hAnsiTheme="minorHAnsi" w:cstheme="minorHAnsi"/>
                <w:sz w:val="20"/>
                <w:szCs w:val="20"/>
                <w:lang w:eastAsia="en-US"/>
              </w:rPr>
              <w:t xml:space="preserve"> </w:t>
            </w:r>
          </w:p>
        </w:tc>
        <w:tc>
          <w:tcPr>
            <w:tcW w:w="3012" w:type="dxa"/>
            <w:tcBorders>
              <w:top w:val="single" w:sz="4" w:space="0" w:color="auto"/>
              <w:left w:val="single" w:sz="4" w:space="0" w:color="auto"/>
              <w:bottom w:val="single" w:sz="4" w:space="0" w:color="auto"/>
              <w:right w:val="single" w:sz="4" w:space="0" w:color="auto"/>
            </w:tcBorders>
            <w:vAlign w:val="center"/>
          </w:tcPr>
          <w:p w14:paraId="5E7D084A" w14:textId="6B0D03AD"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lang w:eastAsia="en-US"/>
              </w:rPr>
              <w:t>TAK</w:t>
            </w:r>
          </w:p>
        </w:tc>
        <w:tc>
          <w:tcPr>
            <w:tcW w:w="2768" w:type="dxa"/>
            <w:shd w:val="clear" w:color="auto" w:fill="auto"/>
          </w:tcPr>
          <w:p w14:paraId="7DB3E53B"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03F570A" w14:textId="77777777" w:rsidTr="005C31A8">
        <w:tc>
          <w:tcPr>
            <w:tcW w:w="1742" w:type="dxa"/>
            <w:shd w:val="clear" w:color="auto" w:fill="auto"/>
            <w:vAlign w:val="center"/>
          </w:tcPr>
          <w:p w14:paraId="6EFA8970" w14:textId="77777777"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1C777AB6" w14:textId="68FAD3A7" w:rsidR="005C31A8" w:rsidRPr="005C31A8" w:rsidRDefault="005C31A8" w:rsidP="005C31A8">
            <w:pPr>
              <w:autoSpaceDE w:val="0"/>
              <w:autoSpaceDN w:val="0"/>
              <w:adjustRightInd w:val="0"/>
              <w:rPr>
                <w:rFonts w:asciiTheme="minorHAnsi" w:hAnsiTheme="minorHAnsi" w:cstheme="minorHAnsi"/>
                <w:b/>
                <w:bCs/>
                <w:sz w:val="20"/>
                <w:szCs w:val="20"/>
                <w:lang w:eastAsia="en-US"/>
              </w:rPr>
            </w:pPr>
            <w:r w:rsidRPr="005C31A8">
              <w:rPr>
                <w:rFonts w:asciiTheme="minorHAnsi" w:hAnsiTheme="minorHAnsi" w:cstheme="minorHAnsi"/>
                <w:sz w:val="20"/>
                <w:szCs w:val="20"/>
                <w:lang w:eastAsia="en-US"/>
              </w:rPr>
              <w:t xml:space="preserve">Kardiomonitor mocowany na dedykowanym uchwycie ściennym o płynnej regulacji wspieranej gazowo. Mocowanie kardiomonitora dodatkowo wyposażone w uchwyt na kable lub kosz. </w:t>
            </w:r>
          </w:p>
        </w:tc>
        <w:tc>
          <w:tcPr>
            <w:tcW w:w="3012" w:type="dxa"/>
            <w:tcBorders>
              <w:top w:val="single" w:sz="4" w:space="0" w:color="auto"/>
              <w:left w:val="single" w:sz="4" w:space="0" w:color="auto"/>
              <w:bottom w:val="single" w:sz="4" w:space="0" w:color="auto"/>
              <w:right w:val="single" w:sz="4" w:space="0" w:color="auto"/>
            </w:tcBorders>
            <w:vAlign w:val="center"/>
          </w:tcPr>
          <w:p w14:paraId="2EAB56AF" w14:textId="79969045" w:rsidR="005C31A8" w:rsidRPr="005C31A8" w:rsidRDefault="005C31A8" w:rsidP="005C31A8">
            <w:pPr>
              <w:jc w:val="center"/>
              <w:rPr>
                <w:rFonts w:asciiTheme="minorHAnsi" w:hAnsiTheme="minorHAnsi" w:cstheme="minorHAnsi"/>
                <w:color w:val="000000"/>
                <w:sz w:val="20"/>
                <w:szCs w:val="20"/>
                <w:lang w:eastAsia="en-US"/>
              </w:rPr>
            </w:pPr>
            <w:r w:rsidRPr="005C31A8">
              <w:rPr>
                <w:rFonts w:asciiTheme="minorHAnsi" w:hAnsiTheme="minorHAnsi" w:cstheme="minorHAnsi"/>
                <w:color w:val="000000"/>
                <w:sz w:val="20"/>
                <w:szCs w:val="20"/>
                <w:lang w:eastAsia="en-US"/>
              </w:rPr>
              <w:t>TAK</w:t>
            </w:r>
          </w:p>
        </w:tc>
        <w:tc>
          <w:tcPr>
            <w:tcW w:w="2768" w:type="dxa"/>
            <w:shd w:val="clear" w:color="auto" w:fill="auto"/>
          </w:tcPr>
          <w:p w14:paraId="7E2944BF"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27A5597" w14:textId="77777777" w:rsidTr="005C31A8">
        <w:tc>
          <w:tcPr>
            <w:tcW w:w="1742" w:type="dxa"/>
            <w:shd w:val="clear" w:color="auto" w:fill="D9D9D9" w:themeFill="background1" w:themeFillShade="D9"/>
            <w:vAlign w:val="center"/>
          </w:tcPr>
          <w:p w14:paraId="2FA5845B" w14:textId="171FB472" w:rsidR="005C31A8" w:rsidRPr="00FA6D4B" w:rsidRDefault="005C31A8" w:rsidP="005C31A8">
            <w:pPr>
              <w:pStyle w:val="Tekstpodstawowy"/>
              <w:jc w:val="center"/>
              <w:rPr>
                <w:rFonts w:asciiTheme="minorHAnsi" w:hAnsiTheme="minorHAnsi" w:cstheme="minorHAnsi"/>
                <w:color w:val="000000"/>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36129" w14:textId="3F34007F" w:rsidR="005C31A8" w:rsidRPr="005C31A8" w:rsidRDefault="005C31A8" w:rsidP="005C31A8">
            <w:pPr>
              <w:autoSpaceDE w:val="0"/>
              <w:autoSpaceDN w:val="0"/>
              <w:adjustRightInd w:val="0"/>
              <w:rPr>
                <w:rFonts w:asciiTheme="minorHAnsi" w:hAnsiTheme="minorHAnsi" w:cstheme="minorHAnsi"/>
                <w:sz w:val="20"/>
                <w:szCs w:val="20"/>
                <w:lang w:eastAsia="en-US"/>
              </w:rPr>
            </w:pPr>
            <w:r w:rsidRPr="005C31A8">
              <w:rPr>
                <w:rFonts w:asciiTheme="minorHAnsi" w:hAnsiTheme="minorHAnsi" w:cstheme="minorHAnsi"/>
                <w:b/>
                <w:bCs/>
                <w:sz w:val="20"/>
                <w:szCs w:val="20"/>
              </w:rPr>
              <w:t>Stacja centralnego monitorowania z łączną liczbą 9 licencji</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35462" w14:textId="77777777" w:rsidR="005C31A8" w:rsidRPr="005C31A8" w:rsidRDefault="005C31A8" w:rsidP="005C31A8">
            <w:pPr>
              <w:jc w:val="center"/>
              <w:rPr>
                <w:rFonts w:asciiTheme="minorHAnsi" w:hAnsiTheme="minorHAnsi" w:cstheme="minorHAnsi"/>
                <w:color w:val="000000"/>
                <w:sz w:val="20"/>
                <w:szCs w:val="20"/>
                <w:lang w:eastAsia="en-US"/>
              </w:rPr>
            </w:pPr>
          </w:p>
        </w:tc>
        <w:tc>
          <w:tcPr>
            <w:tcW w:w="2768" w:type="dxa"/>
            <w:shd w:val="clear" w:color="auto" w:fill="D9D9D9" w:themeFill="background1" w:themeFillShade="D9"/>
          </w:tcPr>
          <w:p w14:paraId="6D09226B"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A55095B" w14:textId="77777777" w:rsidTr="005C31A8">
        <w:tc>
          <w:tcPr>
            <w:tcW w:w="1742" w:type="dxa"/>
            <w:shd w:val="clear" w:color="auto" w:fill="auto"/>
            <w:vAlign w:val="center"/>
          </w:tcPr>
          <w:p w14:paraId="39D63660"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69F0D4DE" w14:textId="5B54E078" w:rsidR="005C31A8" w:rsidRPr="005C31A8" w:rsidRDefault="005C31A8" w:rsidP="005C31A8">
            <w:pPr>
              <w:autoSpaceDE w:val="0"/>
              <w:autoSpaceDN w:val="0"/>
              <w:adjustRightInd w:val="0"/>
              <w:rPr>
                <w:rFonts w:asciiTheme="minorHAnsi" w:hAnsiTheme="minorHAnsi" w:cstheme="minorHAnsi"/>
                <w:sz w:val="20"/>
                <w:szCs w:val="20"/>
                <w:lang w:eastAsia="en-US"/>
              </w:rPr>
            </w:pPr>
            <w:r w:rsidRPr="005C31A8">
              <w:rPr>
                <w:rFonts w:asciiTheme="minorHAnsi" w:hAnsiTheme="minorHAnsi" w:cstheme="minorHAnsi"/>
                <w:sz w:val="20"/>
                <w:szCs w:val="20"/>
              </w:rPr>
              <w:t>Nazwa produktu.</w:t>
            </w:r>
          </w:p>
        </w:tc>
        <w:tc>
          <w:tcPr>
            <w:tcW w:w="3012" w:type="dxa"/>
            <w:tcBorders>
              <w:top w:val="single" w:sz="4" w:space="0" w:color="auto"/>
              <w:left w:val="single" w:sz="4" w:space="0" w:color="auto"/>
              <w:bottom w:val="single" w:sz="4" w:space="0" w:color="auto"/>
              <w:right w:val="single" w:sz="4" w:space="0" w:color="auto"/>
            </w:tcBorders>
            <w:vAlign w:val="center"/>
          </w:tcPr>
          <w:p w14:paraId="57233A3D" w14:textId="62343176" w:rsidR="005C31A8" w:rsidRPr="005C31A8" w:rsidRDefault="005C31A8" w:rsidP="005C31A8">
            <w:pPr>
              <w:jc w:val="center"/>
              <w:rPr>
                <w:rFonts w:asciiTheme="minorHAnsi" w:hAnsiTheme="minorHAnsi" w:cstheme="minorHAnsi"/>
                <w:color w:val="000000"/>
                <w:sz w:val="20"/>
                <w:szCs w:val="20"/>
                <w:lang w:eastAsia="en-US"/>
              </w:rPr>
            </w:pPr>
            <w:r w:rsidRPr="005C31A8">
              <w:rPr>
                <w:rFonts w:asciiTheme="minorHAnsi" w:hAnsiTheme="minorHAnsi" w:cstheme="minorHAnsi"/>
                <w:sz w:val="20"/>
                <w:szCs w:val="20"/>
              </w:rPr>
              <w:t>podać</w:t>
            </w:r>
          </w:p>
        </w:tc>
        <w:tc>
          <w:tcPr>
            <w:tcW w:w="2768" w:type="dxa"/>
            <w:shd w:val="clear" w:color="auto" w:fill="auto"/>
          </w:tcPr>
          <w:p w14:paraId="7D7E1E1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AD9FED4" w14:textId="77777777" w:rsidTr="005C31A8">
        <w:tc>
          <w:tcPr>
            <w:tcW w:w="1742" w:type="dxa"/>
            <w:shd w:val="clear" w:color="auto" w:fill="auto"/>
            <w:vAlign w:val="center"/>
          </w:tcPr>
          <w:p w14:paraId="223516BA"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69B5A7E6" w14:textId="2811E4C8"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Numer katalogowy produktu lub grupy.</w:t>
            </w:r>
          </w:p>
        </w:tc>
        <w:tc>
          <w:tcPr>
            <w:tcW w:w="3012" w:type="dxa"/>
            <w:tcBorders>
              <w:top w:val="single" w:sz="4" w:space="0" w:color="auto"/>
              <w:left w:val="single" w:sz="4" w:space="0" w:color="auto"/>
              <w:bottom w:val="single" w:sz="4" w:space="0" w:color="auto"/>
              <w:right w:val="single" w:sz="4" w:space="0" w:color="auto"/>
            </w:tcBorders>
            <w:vAlign w:val="center"/>
          </w:tcPr>
          <w:p w14:paraId="78F70395" w14:textId="5182975C"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podać</w:t>
            </w:r>
          </w:p>
        </w:tc>
        <w:tc>
          <w:tcPr>
            <w:tcW w:w="2768" w:type="dxa"/>
            <w:shd w:val="clear" w:color="auto" w:fill="auto"/>
          </w:tcPr>
          <w:p w14:paraId="375173F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76FD6E0" w14:textId="77777777" w:rsidTr="005C31A8">
        <w:tc>
          <w:tcPr>
            <w:tcW w:w="1742" w:type="dxa"/>
            <w:shd w:val="clear" w:color="auto" w:fill="auto"/>
            <w:vAlign w:val="center"/>
          </w:tcPr>
          <w:p w14:paraId="0E3C5139"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B04AF61" w14:textId="089315BD"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Producent.</w:t>
            </w:r>
          </w:p>
        </w:tc>
        <w:tc>
          <w:tcPr>
            <w:tcW w:w="3012" w:type="dxa"/>
            <w:tcBorders>
              <w:top w:val="single" w:sz="4" w:space="0" w:color="auto"/>
              <w:left w:val="single" w:sz="4" w:space="0" w:color="auto"/>
              <w:bottom w:val="single" w:sz="4" w:space="0" w:color="auto"/>
              <w:right w:val="single" w:sz="4" w:space="0" w:color="auto"/>
            </w:tcBorders>
            <w:vAlign w:val="center"/>
          </w:tcPr>
          <w:p w14:paraId="3DC8F481" w14:textId="0DB59648"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podać</w:t>
            </w:r>
          </w:p>
        </w:tc>
        <w:tc>
          <w:tcPr>
            <w:tcW w:w="2768" w:type="dxa"/>
            <w:shd w:val="clear" w:color="auto" w:fill="auto"/>
          </w:tcPr>
          <w:p w14:paraId="6158D1A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AA001CD" w14:textId="77777777" w:rsidTr="005C31A8">
        <w:tc>
          <w:tcPr>
            <w:tcW w:w="1742" w:type="dxa"/>
            <w:shd w:val="clear" w:color="auto" w:fill="auto"/>
            <w:vAlign w:val="center"/>
          </w:tcPr>
          <w:p w14:paraId="502E9675"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264EE7EA" w14:textId="3771D6D0"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Produkt fabrycznie nowy, rok produkcji – min. 2025.</w:t>
            </w:r>
          </w:p>
        </w:tc>
        <w:tc>
          <w:tcPr>
            <w:tcW w:w="3012" w:type="dxa"/>
            <w:tcBorders>
              <w:top w:val="single" w:sz="4" w:space="0" w:color="auto"/>
              <w:left w:val="single" w:sz="4" w:space="0" w:color="auto"/>
              <w:bottom w:val="single" w:sz="4" w:space="0" w:color="auto"/>
              <w:right w:val="single" w:sz="4" w:space="0" w:color="auto"/>
            </w:tcBorders>
            <w:vAlign w:val="center"/>
          </w:tcPr>
          <w:p w14:paraId="3C23B494" w14:textId="254AAC07"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sz w:val="20"/>
                <w:szCs w:val="20"/>
              </w:rPr>
              <w:t>TAK</w:t>
            </w:r>
          </w:p>
        </w:tc>
        <w:tc>
          <w:tcPr>
            <w:tcW w:w="2768" w:type="dxa"/>
            <w:shd w:val="clear" w:color="auto" w:fill="auto"/>
          </w:tcPr>
          <w:p w14:paraId="40D370E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7570B1A3" w14:textId="77777777" w:rsidTr="005C31A8">
        <w:tc>
          <w:tcPr>
            <w:tcW w:w="1742" w:type="dxa"/>
            <w:shd w:val="clear" w:color="auto" w:fill="auto"/>
            <w:vAlign w:val="center"/>
          </w:tcPr>
          <w:p w14:paraId="0572F48E"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261C9D1E" w14:textId="7F5BBB2A"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System operacyjny centrali nie starszy niż Windows 10 lub Mac OS X 10.8 lub inny posiadający aktualne wsparcie techniczne producenta. Funkcja automatycznego tworzenia kopii zapasowej danych umożliwiająca szybkie przywrócenie działania systemu w razie awarii.</w:t>
            </w:r>
          </w:p>
        </w:tc>
        <w:tc>
          <w:tcPr>
            <w:tcW w:w="3012" w:type="dxa"/>
            <w:tcBorders>
              <w:top w:val="single" w:sz="4" w:space="0" w:color="auto"/>
              <w:left w:val="single" w:sz="4" w:space="0" w:color="auto"/>
              <w:bottom w:val="single" w:sz="4" w:space="0" w:color="auto"/>
              <w:right w:val="single" w:sz="4" w:space="0" w:color="auto"/>
            </w:tcBorders>
            <w:vAlign w:val="center"/>
          </w:tcPr>
          <w:p w14:paraId="32C43DD9" w14:textId="7D282B52" w:rsidR="005C31A8" w:rsidRPr="005C31A8" w:rsidRDefault="005C31A8" w:rsidP="005C31A8">
            <w:pPr>
              <w:jc w:val="center"/>
              <w:rPr>
                <w:rFonts w:asciiTheme="minorHAnsi" w:hAnsiTheme="minorHAnsi" w:cstheme="minorHAnsi"/>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2D857F48"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7082AFB" w14:textId="77777777" w:rsidTr="005C31A8">
        <w:tc>
          <w:tcPr>
            <w:tcW w:w="1742" w:type="dxa"/>
            <w:shd w:val="clear" w:color="auto" w:fill="auto"/>
            <w:vAlign w:val="center"/>
          </w:tcPr>
          <w:p w14:paraId="61F918B7"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2C3618D8" w14:textId="3F65BE45"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xml:space="preserve">System przygotowany sprzętowo i programowo do rozbudowy o kolejne urządzenia monitorujące (do min. 1600 w sieci monitorowania). </w:t>
            </w:r>
          </w:p>
        </w:tc>
        <w:tc>
          <w:tcPr>
            <w:tcW w:w="3012" w:type="dxa"/>
            <w:tcBorders>
              <w:top w:val="single" w:sz="4" w:space="0" w:color="auto"/>
              <w:left w:val="single" w:sz="4" w:space="0" w:color="auto"/>
              <w:bottom w:val="single" w:sz="4" w:space="0" w:color="auto"/>
              <w:right w:val="single" w:sz="4" w:space="0" w:color="auto"/>
            </w:tcBorders>
            <w:vAlign w:val="center"/>
          </w:tcPr>
          <w:p w14:paraId="3263F3AE" w14:textId="3D4123CD"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 podać</w:t>
            </w:r>
          </w:p>
        </w:tc>
        <w:tc>
          <w:tcPr>
            <w:tcW w:w="2768" w:type="dxa"/>
            <w:shd w:val="clear" w:color="auto" w:fill="auto"/>
          </w:tcPr>
          <w:p w14:paraId="3F88328D"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99A1699" w14:textId="77777777" w:rsidTr="005C31A8">
        <w:tc>
          <w:tcPr>
            <w:tcW w:w="1742" w:type="dxa"/>
            <w:shd w:val="clear" w:color="auto" w:fill="auto"/>
            <w:vAlign w:val="center"/>
          </w:tcPr>
          <w:p w14:paraId="12E184A6"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0AA7D83" w14:textId="3761C951"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xml:space="preserve">Prezentacja danych pacjentów monitorowanych na kolorowym ekranie typu LCD TFT o przekątnej co najmniej 23” i rozdzielczości Full HD. W zestawie drugie stanowisko do podglądu min. 9 pacjentów. </w:t>
            </w:r>
          </w:p>
        </w:tc>
        <w:tc>
          <w:tcPr>
            <w:tcW w:w="3012" w:type="dxa"/>
            <w:tcBorders>
              <w:top w:val="single" w:sz="4" w:space="0" w:color="auto"/>
              <w:left w:val="single" w:sz="4" w:space="0" w:color="auto"/>
              <w:bottom w:val="single" w:sz="4" w:space="0" w:color="auto"/>
              <w:right w:val="single" w:sz="4" w:space="0" w:color="auto"/>
            </w:tcBorders>
            <w:vAlign w:val="center"/>
          </w:tcPr>
          <w:p w14:paraId="579E070B" w14:textId="3D750B2F"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 4 ekrany</w:t>
            </w:r>
          </w:p>
        </w:tc>
        <w:tc>
          <w:tcPr>
            <w:tcW w:w="2768" w:type="dxa"/>
            <w:shd w:val="clear" w:color="auto" w:fill="auto"/>
          </w:tcPr>
          <w:p w14:paraId="648125F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4B0DC74" w14:textId="77777777" w:rsidTr="005C31A8">
        <w:tc>
          <w:tcPr>
            <w:tcW w:w="1742" w:type="dxa"/>
            <w:shd w:val="clear" w:color="auto" w:fill="auto"/>
            <w:vAlign w:val="center"/>
          </w:tcPr>
          <w:p w14:paraId="261A17D3"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210D344" w14:textId="50062475"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Podgląd, monitorowanie i zapis danych wszystkich parametrów i przebiegów falowych z kardiomonitorów - wyświetlanie wszystkich krzywych dynamicznych i wartości numerycznych.</w:t>
            </w:r>
          </w:p>
        </w:tc>
        <w:tc>
          <w:tcPr>
            <w:tcW w:w="3012" w:type="dxa"/>
            <w:tcBorders>
              <w:top w:val="single" w:sz="4" w:space="0" w:color="auto"/>
              <w:left w:val="single" w:sz="4" w:space="0" w:color="auto"/>
              <w:bottom w:val="single" w:sz="4" w:space="0" w:color="auto"/>
              <w:right w:val="single" w:sz="4" w:space="0" w:color="auto"/>
            </w:tcBorders>
            <w:vAlign w:val="center"/>
          </w:tcPr>
          <w:p w14:paraId="6A85BAD5" w14:textId="16B17FF0"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275D632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7EB79A7E" w14:textId="77777777" w:rsidTr="005C31A8">
        <w:tc>
          <w:tcPr>
            <w:tcW w:w="1742" w:type="dxa"/>
            <w:shd w:val="clear" w:color="auto" w:fill="auto"/>
            <w:vAlign w:val="center"/>
          </w:tcPr>
          <w:p w14:paraId="2D809880"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64AEDDB7"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Możliwość elastycznego konfigurowania układu ekranu z poziomu użytkownika (bez udziału serwisu), w tym:</w:t>
            </w:r>
          </w:p>
          <w:p w14:paraId="237C9EC2"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zmiana wielkości okna (sektora) dla każdego pacjenta niezależnie</w:t>
            </w:r>
          </w:p>
          <w:p w14:paraId="39672A9C" w14:textId="7EE333D1" w:rsidR="005C31A8" w:rsidRPr="005C31A8" w:rsidRDefault="005C31A8" w:rsidP="005C31A8">
            <w:pPr>
              <w:autoSpaceDE w:val="0"/>
              <w:autoSpaceDN w:val="0"/>
              <w:adjustRightInd w:val="0"/>
              <w:rPr>
                <w:rFonts w:asciiTheme="minorHAnsi" w:hAnsiTheme="minorHAnsi" w:cstheme="minorHAnsi"/>
                <w:sz w:val="20"/>
                <w:szCs w:val="20"/>
              </w:rPr>
            </w:pPr>
            <w:r w:rsidRPr="005C31A8">
              <w:rPr>
                <w:rFonts w:asciiTheme="minorHAnsi" w:hAnsiTheme="minorHAnsi" w:cstheme="minorHAnsi"/>
                <w:sz w:val="20"/>
                <w:szCs w:val="20"/>
              </w:rPr>
              <w:t>- zmiana formatu i rodzaju wyświetlanych parametrów liczbowych i krzywych dynamicznych (dla każdego pacjenta niezależnie).</w:t>
            </w:r>
          </w:p>
        </w:tc>
        <w:tc>
          <w:tcPr>
            <w:tcW w:w="3012" w:type="dxa"/>
            <w:tcBorders>
              <w:top w:val="single" w:sz="4" w:space="0" w:color="auto"/>
              <w:left w:val="single" w:sz="4" w:space="0" w:color="auto"/>
              <w:bottom w:val="single" w:sz="4" w:space="0" w:color="auto"/>
              <w:right w:val="single" w:sz="4" w:space="0" w:color="auto"/>
            </w:tcBorders>
            <w:vAlign w:val="center"/>
          </w:tcPr>
          <w:p w14:paraId="45DA80C8" w14:textId="6D47D3BB"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6A8B57E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1F9C270" w14:textId="77777777" w:rsidTr="005C31A8">
        <w:tc>
          <w:tcPr>
            <w:tcW w:w="1742" w:type="dxa"/>
            <w:shd w:val="clear" w:color="auto" w:fill="auto"/>
            <w:vAlign w:val="center"/>
          </w:tcPr>
          <w:p w14:paraId="5D32F4C1"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06E46BD4" w14:textId="65A50333"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Automatyczna oraz ręczna (przez Użytkownika) minimalizacja sektorów dla nieaktywnych kardiomonitorów. Automatyczne przywrócenie zapisu po włączeniu kardiomonitora. </w:t>
            </w:r>
          </w:p>
        </w:tc>
        <w:tc>
          <w:tcPr>
            <w:tcW w:w="3012" w:type="dxa"/>
            <w:tcBorders>
              <w:top w:val="single" w:sz="4" w:space="0" w:color="auto"/>
              <w:left w:val="single" w:sz="4" w:space="0" w:color="auto"/>
              <w:bottom w:val="single" w:sz="4" w:space="0" w:color="auto"/>
              <w:right w:val="single" w:sz="4" w:space="0" w:color="auto"/>
            </w:tcBorders>
            <w:vAlign w:val="center"/>
          </w:tcPr>
          <w:p w14:paraId="0678A46F" w14:textId="77777777"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p w14:paraId="5D48E5D4" w14:textId="77777777" w:rsidR="005C31A8" w:rsidRPr="005C31A8" w:rsidRDefault="005C31A8" w:rsidP="005C31A8">
            <w:pPr>
              <w:spacing w:line="276" w:lineRule="auto"/>
              <w:jc w:val="center"/>
              <w:rPr>
                <w:rFonts w:asciiTheme="minorHAnsi" w:hAnsiTheme="minorHAnsi" w:cstheme="minorHAnsi"/>
                <w:sz w:val="20"/>
                <w:szCs w:val="20"/>
                <w:lang w:eastAsia="en-US"/>
              </w:rPr>
            </w:pPr>
            <w:r w:rsidRPr="005C31A8">
              <w:rPr>
                <w:rFonts w:asciiTheme="minorHAnsi" w:hAnsiTheme="minorHAnsi" w:cstheme="minorHAnsi"/>
                <w:sz w:val="20"/>
                <w:szCs w:val="20"/>
                <w:lang w:eastAsia="en-US"/>
              </w:rPr>
              <w:t>Tak – 5 pkt</w:t>
            </w:r>
          </w:p>
          <w:p w14:paraId="04096415" w14:textId="50A5D600"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sz w:val="20"/>
                <w:szCs w:val="20"/>
                <w:lang w:eastAsia="en-US"/>
              </w:rPr>
              <w:t>Nie – 0 pkt</w:t>
            </w:r>
          </w:p>
        </w:tc>
        <w:tc>
          <w:tcPr>
            <w:tcW w:w="2768" w:type="dxa"/>
            <w:shd w:val="clear" w:color="auto" w:fill="auto"/>
          </w:tcPr>
          <w:p w14:paraId="775138B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48F5999" w14:textId="77777777" w:rsidTr="005C31A8">
        <w:tc>
          <w:tcPr>
            <w:tcW w:w="1742" w:type="dxa"/>
            <w:shd w:val="clear" w:color="auto" w:fill="auto"/>
            <w:vAlign w:val="center"/>
          </w:tcPr>
          <w:p w14:paraId="5E1DA514"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252D14D" w14:textId="5A6CEF2A"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Możliwość przypisania do jednego pacjenta dwóch urządzeń monitorujących tj. kardiomonitora i monitora telemetrycznego.</w:t>
            </w:r>
          </w:p>
        </w:tc>
        <w:tc>
          <w:tcPr>
            <w:tcW w:w="3012" w:type="dxa"/>
            <w:tcBorders>
              <w:top w:val="single" w:sz="4" w:space="0" w:color="auto"/>
              <w:left w:val="single" w:sz="4" w:space="0" w:color="auto"/>
              <w:bottom w:val="single" w:sz="4" w:space="0" w:color="auto"/>
              <w:right w:val="single" w:sz="4" w:space="0" w:color="auto"/>
            </w:tcBorders>
            <w:vAlign w:val="center"/>
          </w:tcPr>
          <w:p w14:paraId="2E343311" w14:textId="201FFB05"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2397E094"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C58776D" w14:textId="77777777" w:rsidTr="005C31A8">
        <w:tc>
          <w:tcPr>
            <w:tcW w:w="1742" w:type="dxa"/>
            <w:shd w:val="clear" w:color="auto" w:fill="auto"/>
            <w:vAlign w:val="center"/>
          </w:tcPr>
          <w:p w14:paraId="16B93181"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9ACD8B6" w14:textId="08EA5755"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Alarmy 3-stopniowe (wizualne i akustyczne) z poszczególnych łóżek, z identyfikacją alarmującego łóżka.</w:t>
            </w:r>
          </w:p>
        </w:tc>
        <w:tc>
          <w:tcPr>
            <w:tcW w:w="3012" w:type="dxa"/>
            <w:tcBorders>
              <w:top w:val="single" w:sz="4" w:space="0" w:color="auto"/>
              <w:left w:val="single" w:sz="4" w:space="0" w:color="auto"/>
              <w:bottom w:val="single" w:sz="4" w:space="0" w:color="auto"/>
              <w:right w:val="single" w:sz="4" w:space="0" w:color="auto"/>
            </w:tcBorders>
            <w:vAlign w:val="center"/>
          </w:tcPr>
          <w:p w14:paraId="57029675" w14:textId="21251D57"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1952E644"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30AA481" w14:textId="77777777" w:rsidTr="005C31A8">
        <w:tc>
          <w:tcPr>
            <w:tcW w:w="1742" w:type="dxa"/>
            <w:shd w:val="clear" w:color="auto" w:fill="auto"/>
            <w:vAlign w:val="center"/>
          </w:tcPr>
          <w:p w14:paraId="73B705CB"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F66395A" w14:textId="3A55C494"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Sterowanie funkcjami kardiomonitorów, w tym ustawieniami alarmów i pomiarów, uruchamianie nieinwazyjnego pomiaru ciśnienia.</w:t>
            </w:r>
          </w:p>
        </w:tc>
        <w:tc>
          <w:tcPr>
            <w:tcW w:w="3012" w:type="dxa"/>
            <w:tcBorders>
              <w:top w:val="single" w:sz="4" w:space="0" w:color="auto"/>
              <w:left w:val="single" w:sz="4" w:space="0" w:color="auto"/>
              <w:bottom w:val="single" w:sz="4" w:space="0" w:color="auto"/>
              <w:right w:val="single" w:sz="4" w:space="0" w:color="auto"/>
            </w:tcBorders>
            <w:vAlign w:val="center"/>
          </w:tcPr>
          <w:p w14:paraId="1FB30E3C" w14:textId="076321D5"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3335D3C9"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4EF00B6" w14:textId="77777777" w:rsidTr="005C31A8">
        <w:tc>
          <w:tcPr>
            <w:tcW w:w="1742" w:type="dxa"/>
            <w:shd w:val="clear" w:color="auto" w:fill="auto"/>
            <w:vAlign w:val="center"/>
          </w:tcPr>
          <w:p w14:paraId="2AA7DBE6"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04ABDE99" w14:textId="2FFAF34D"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Wpisywanie danych demograficznych pacjenta w centrali i w kardiomonitorach.</w:t>
            </w:r>
          </w:p>
        </w:tc>
        <w:tc>
          <w:tcPr>
            <w:tcW w:w="3012" w:type="dxa"/>
            <w:tcBorders>
              <w:top w:val="single" w:sz="4" w:space="0" w:color="auto"/>
              <w:left w:val="single" w:sz="4" w:space="0" w:color="auto"/>
              <w:bottom w:val="single" w:sz="4" w:space="0" w:color="auto"/>
              <w:right w:val="single" w:sz="4" w:space="0" w:color="auto"/>
            </w:tcBorders>
            <w:vAlign w:val="center"/>
          </w:tcPr>
          <w:p w14:paraId="50875777" w14:textId="495498C1"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73335FCC"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2E5BDAA" w14:textId="77777777" w:rsidTr="005C31A8">
        <w:tc>
          <w:tcPr>
            <w:tcW w:w="1742" w:type="dxa"/>
            <w:shd w:val="clear" w:color="auto" w:fill="auto"/>
            <w:vAlign w:val="center"/>
          </w:tcPr>
          <w:p w14:paraId="2F49DB1E"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F67D156" w14:textId="02A9FFAC"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Funkcja "holterowska": zapis ciągły przebiegów dynamicznych (w tym zapis 12 </w:t>
            </w:r>
            <w:proofErr w:type="spellStart"/>
            <w:r w:rsidRPr="005C31A8">
              <w:rPr>
                <w:rFonts w:asciiTheme="minorHAnsi" w:hAnsiTheme="minorHAnsi" w:cstheme="minorHAnsi"/>
                <w:sz w:val="20"/>
                <w:szCs w:val="20"/>
              </w:rPr>
              <w:t>odprowadzeń</w:t>
            </w:r>
            <w:proofErr w:type="spellEnd"/>
            <w:r w:rsidRPr="005C31A8">
              <w:rPr>
                <w:rFonts w:asciiTheme="minorHAnsi" w:hAnsiTheme="minorHAnsi" w:cstheme="minorHAnsi"/>
                <w:sz w:val="20"/>
                <w:szCs w:val="20"/>
              </w:rPr>
              <w:t xml:space="preserve"> EKG) z min. 7 ostatnich dni, z możliwością wglądu w dowolny fragment tego zapisu.</w:t>
            </w:r>
          </w:p>
        </w:tc>
        <w:tc>
          <w:tcPr>
            <w:tcW w:w="3012" w:type="dxa"/>
            <w:tcBorders>
              <w:top w:val="single" w:sz="4" w:space="0" w:color="auto"/>
              <w:left w:val="single" w:sz="4" w:space="0" w:color="auto"/>
              <w:bottom w:val="single" w:sz="4" w:space="0" w:color="auto"/>
              <w:right w:val="single" w:sz="4" w:space="0" w:color="auto"/>
            </w:tcBorders>
            <w:vAlign w:val="center"/>
          </w:tcPr>
          <w:p w14:paraId="0CD69601" w14:textId="4EC225F3"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1F455BF6"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1406FFA" w14:textId="77777777" w:rsidTr="005C31A8">
        <w:tc>
          <w:tcPr>
            <w:tcW w:w="1742" w:type="dxa"/>
            <w:shd w:val="clear" w:color="auto" w:fill="auto"/>
            <w:vAlign w:val="center"/>
          </w:tcPr>
          <w:p w14:paraId="5DFCF7EB"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CBFD4D4" w14:textId="20148038"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Pamięć stanów krytycznych (alarmów arytmii i innych zdarzeń, z zapisem odcinków monitorowanych krzywych dynamicznych i wartości liczbowych). Funkcja wykonywania pomiarów na zapamiętanych krzywych / min. pomiar RR, QT.</w:t>
            </w:r>
          </w:p>
        </w:tc>
        <w:tc>
          <w:tcPr>
            <w:tcW w:w="3012" w:type="dxa"/>
            <w:tcBorders>
              <w:top w:val="single" w:sz="4" w:space="0" w:color="auto"/>
              <w:left w:val="single" w:sz="4" w:space="0" w:color="auto"/>
              <w:bottom w:val="single" w:sz="4" w:space="0" w:color="auto"/>
              <w:right w:val="single" w:sz="4" w:space="0" w:color="auto"/>
            </w:tcBorders>
            <w:vAlign w:val="center"/>
          </w:tcPr>
          <w:p w14:paraId="7654966A" w14:textId="4D87B93D"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261B52B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644B5EE" w14:textId="77777777" w:rsidTr="005C31A8">
        <w:tc>
          <w:tcPr>
            <w:tcW w:w="1742" w:type="dxa"/>
            <w:shd w:val="clear" w:color="auto" w:fill="auto"/>
            <w:vAlign w:val="center"/>
          </w:tcPr>
          <w:p w14:paraId="709E1982"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C45937F" w14:textId="25046286"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3012" w:type="dxa"/>
            <w:tcBorders>
              <w:top w:val="single" w:sz="4" w:space="0" w:color="auto"/>
              <w:left w:val="single" w:sz="4" w:space="0" w:color="auto"/>
              <w:bottom w:val="single" w:sz="4" w:space="0" w:color="auto"/>
              <w:right w:val="single" w:sz="4" w:space="0" w:color="auto"/>
            </w:tcBorders>
            <w:vAlign w:val="center"/>
          </w:tcPr>
          <w:p w14:paraId="14387855" w14:textId="34447A35"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556D1ED5"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21D66D1" w14:textId="77777777" w:rsidTr="005C31A8">
        <w:tc>
          <w:tcPr>
            <w:tcW w:w="1742" w:type="dxa"/>
            <w:shd w:val="clear" w:color="auto" w:fill="auto"/>
            <w:vAlign w:val="center"/>
          </w:tcPr>
          <w:p w14:paraId="202A1901"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CFE2037"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Sygnalizacja alarmowa zdarzeń związanych z zaburzeniami rytmu, w tym co najmniej:</w:t>
            </w:r>
          </w:p>
          <w:p w14:paraId="7C26B1F9"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 </w:t>
            </w:r>
            <w:proofErr w:type="spellStart"/>
            <w:r w:rsidRPr="005C31A8">
              <w:rPr>
                <w:rFonts w:asciiTheme="minorHAnsi" w:hAnsiTheme="minorHAnsi" w:cstheme="minorHAnsi"/>
                <w:sz w:val="20"/>
                <w:szCs w:val="20"/>
              </w:rPr>
              <w:t>Asystolia</w:t>
            </w:r>
            <w:proofErr w:type="spellEnd"/>
          </w:p>
          <w:p w14:paraId="7386A60C"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 </w:t>
            </w:r>
            <w:proofErr w:type="spellStart"/>
            <w:r w:rsidRPr="005C31A8">
              <w:rPr>
                <w:rFonts w:asciiTheme="minorHAnsi" w:hAnsiTheme="minorHAnsi" w:cstheme="minorHAnsi"/>
                <w:sz w:val="20"/>
                <w:szCs w:val="20"/>
              </w:rPr>
              <w:t>Vfib</w:t>
            </w:r>
            <w:proofErr w:type="spellEnd"/>
            <w:r w:rsidRPr="005C31A8">
              <w:rPr>
                <w:rFonts w:asciiTheme="minorHAnsi" w:hAnsiTheme="minorHAnsi" w:cstheme="minorHAnsi"/>
                <w:sz w:val="20"/>
                <w:szCs w:val="20"/>
              </w:rPr>
              <w:t>/</w:t>
            </w:r>
            <w:proofErr w:type="spellStart"/>
            <w:r w:rsidRPr="005C31A8">
              <w:rPr>
                <w:rFonts w:asciiTheme="minorHAnsi" w:hAnsiTheme="minorHAnsi" w:cstheme="minorHAnsi"/>
                <w:sz w:val="20"/>
                <w:szCs w:val="20"/>
              </w:rPr>
              <w:t>Vtach</w:t>
            </w:r>
            <w:proofErr w:type="spellEnd"/>
          </w:p>
          <w:p w14:paraId="0F9D1FA9"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Tachykardia komorowa</w:t>
            </w:r>
          </w:p>
          <w:p w14:paraId="19D44F45"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Ciężka tachykardia</w:t>
            </w:r>
          </w:p>
          <w:p w14:paraId="00F1B860"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lastRenderedPageBreak/>
              <w:t>• Ciężka bradykardia</w:t>
            </w:r>
          </w:p>
          <w:p w14:paraId="543AF817"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 Wysoka częstość skurczów </w:t>
            </w:r>
            <w:proofErr w:type="spellStart"/>
            <w:r w:rsidRPr="005C31A8">
              <w:rPr>
                <w:rFonts w:asciiTheme="minorHAnsi" w:hAnsiTheme="minorHAnsi" w:cstheme="minorHAnsi"/>
                <w:sz w:val="20"/>
                <w:szCs w:val="20"/>
              </w:rPr>
              <w:t>ektopowych</w:t>
            </w:r>
            <w:proofErr w:type="spellEnd"/>
            <w:r w:rsidRPr="005C31A8">
              <w:rPr>
                <w:rFonts w:asciiTheme="minorHAnsi" w:hAnsiTheme="minorHAnsi" w:cstheme="minorHAnsi"/>
                <w:sz w:val="20"/>
                <w:szCs w:val="20"/>
              </w:rPr>
              <w:t xml:space="preserve"> </w:t>
            </w:r>
          </w:p>
          <w:p w14:paraId="754C738E"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HR wysokie</w:t>
            </w:r>
          </w:p>
          <w:p w14:paraId="10F9F4CB"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HR niskie</w:t>
            </w:r>
          </w:p>
          <w:p w14:paraId="0A0E0FBC" w14:textId="6030B9EE"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Migotanie przedsionków (początek i koniec).</w:t>
            </w:r>
          </w:p>
        </w:tc>
        <w:tc>
          <w:tcPr>
            <w:tcW w:w="3012" w:type="dxa"/>
            <w:tcBorders>
              <w:top w:val="single" w:sz="4" w:space="0" w:color="auto"/>
              <w:left w:val="single" w:sz="4" w:space="0" w:color="auto"/>
              <w:bottom w:val="single" w:sz="4" w:space="0" w:color="auto"/>
              <w:right w:val="single" w:sz="4" w:space="0" w:color="auto"/>
            </w:tcBorders>
            <w:vAlign w:val="center"/>
          </w:tcPr>
          <w:p w14:paraId="587E6701" w14:textId="4859C36A"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lastRenderedPageBreak/>
              <w:t>TAK, podać</w:t>
            </w:r>
          </w:p>
        </w:tc>
        <w:tc>
          <w:tcPr>
            <w:tcW w:w="2768" w:type="dxa"/>
            <w:shd w:val="clear" w:color="auto" w:fill="auto"/>
          </w:tcPr>
          <w:p w14:paraId="044264B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32D0A31" w14:textId="77777777" w:rsidTr="005C31A8">
        <w:tc>
          <w:tcPr>
            <w:tcW w:w="1742" w:type="dxa"/>
            <w:shd w:val="clear" w:color="auto" w:fill="auto"/>
            <w:vAlign w:val="center"/>
          </w:tcPr>
          <w:p w14:paraId="69C455CF"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2C1CC55C" w14:textId="01ECD811"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Możliwość wyłączenia alarmów poszczególnych arytmii (w tym migotania przedsionków). </w:t>
            </w:r>
          </w:p>
        </w:tc>
        <w:tc>
          <w:tcPr>
            <w:tcW w:w="3012" w:type="dxa"/>
            <w:tcBorders>
              <w:top w:val="single" w:sz="4" w:space="0" w:color="auto"/>
              <w:left w:val="single" w:sz="4" w:space="0" w:color="auto"/>
              <w:bottom w:val="single" w:sz="4" w:space="0" w:color="auto"/>
              <w:right w:val="single" w:sz="4" w:space="0" w:color="auto"/>
            </w:tcBorders>
            <w:vAlign w:val="center"/>
          </w:tcPr>
          <w:p w14:paraId="66CC281F" w14:textId="7629A49E" w:rsidR="005C31A8" w:rsidRPr="005C31A8" w:rsidRDefault="005C31A8" w:rsidP="005C31A8">
            <w:pPr>
              <w:jc w:val="center"/>
              <w:rPr>
                <w:rFonts w:asciiTheme="minorHAnsi" w:hAnsiTheme="minorHAnsi" w:cstheme="minorHAnsi"/>
                <w:color w:val="000000"/>
                <w:sz w:val="20"/>
                <w:szCs w:val="20"/>
              </w:rPr>
            </w:pPr>
            <w:bookmarkStart w:id="4" w:name="OLE_LINK32"/>
            <w:bookmarkStart w:id="5" w:name="OLE_LINK33"/>
            <w:r w:rsidRPr="005C31A8">
              <w:rPr>
                <w:rFonts w:asciiTheme="minorHAnsi" w:hAnsiTheme="minorHAnsi" w:cstheme="minorHAnsi"/>
                <w:color w:val="000000"/>
                <w:sz w:val="20"/>
                <w:szCs w:val="20"/>
              </w:rPr>
              <w:t>TAK</w:t>
            </w:r>
            <w:bookmarkEnd w:id="4"/>
            <w:bookmarkEnd w:id="5"/>
          </w:p>
        </w:tc>
        <w:tc>
          <w:tcPr>
            <w:tcW w:w="2768" w:type="dxa"/>
            <w:shd w:val="clear" w:color="auto" w:fill="auto"/>
          </w:tcPr>
          <w:p w14:paraId="412C14F6"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0C21486" w14:textId="77777777" w:rsidTr="005C31A8">
        <w:tc>
          <w:tcPr>
            <w:tcW w:w="1742" w:type="dxa"/>
            <w:shd w:val="clear" w:color="auto" w:fill="auto"/>
            <w:vAlign w:val="center"/>
          </w:tcPr>
          <w:p w14:paraId="41B5BAD4"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3CD1DF8" w14:textId="209A2170"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Możliwość modyfikacji kryteriów alarmowania dla poszczególnych arytmii. </w:t>
            </w:r>
          </w:p>
        </w:tc>
        <w:tc>
          <w:tcPr>
            <w:tcW w:w="3012" w:type="dxa"/>
            <w:tcBorders>
              <w:top w:val="single" w:sz="4" w:space="0" w:color="auto"/>
              <w:left w:val="single" w:sz="4" w:space="0" w:color="auto"/>
              <w:bottom w:val="single" w:sz="4" w:space="0" w:color="auto"/>
              <w:right w:val="single" w:sz="4" w:space="0" w:color="auto"/>
            </w:tcBorders>
            <w:vAlign w:val="center"/>
          </w:tcPr>
          <w:p w14:paraId="1F03B3D3" w14:textId="54018779"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6C165B86"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F54ABB9" w14:textId="77777777" w:rsidTr="005C31A8">
        <w:tc>
          <w:tcPr>
            <w:tcW w:w="1742" w:type="dxa"/>
            <w:shd w:val="clear" w:color="auto" w:fill="auto"/>
            <w:vAlign w:val="center"/>
          </w:tcPr>
          <w:p w14:paraId="408BE42B"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1BD1A97" w14:textId="7E4CC90C"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Trendy graficzne i numeryczne z minimum 150h ostatnich godzin wszystkich mierzonych przez monitory parametrów.</w:t>
            </w:r>
          </w:p>
        </w:tc>
        <w:tc>
          <w:tcPr>
            <w:tcW w:w="3012" w:type="dxa"/>
            <w:tcBorders>
              <w:top w:val="single" w:sz="4" w:space="0" w:color="auto"/>
              <w:left w:val="single" w:sz="4" w:space="0" w:color="auto"/>
              <w:bottom w:val="single" w:sz="4" w:space="0" w:color="auto"/>
              <w:right w:val="single" w:sz="4" w:space="0" w:color="auto"/>
            </w:tcBorders>
            <w:vAlign w:val="center"/>
          </w:tcPr>
          <w:p w14:paraId="5EB1EBF2" w14:textId="62C9C054"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 podać</w:t>
            </w:r>
          </w:p>
        </w:tc>
        <w:tc>
          <w:tcPr>
            <w:tcW w:w="2768" w:type="dxa"/>
            <w:shd w:val="clear" w:color="auto" w:fill="auto"/>
          </w:tcPr>
          <w:p w14:paraId="6AB57BA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5D1D5F23" w14:textId="77777777" w:rsidTr="005C31A8">
        <w:tc>
          <w:tcPr>
            <w:tcW w:w="1742" w:type="dxa"/>
            <w:shd w:val="clear" w:color="auto" w:fill="auto"/>
            <w:vAlign w:val="center"/>
          </w:tcPr>
          <w:p w14:paraId="02BC5214"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0DA58896" w14:textId="4AD79C01"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Funkcja analizy najczęściej występujących alarmów u danego pacjenta z prezentacją wartości progowych i trendów podstawowych parametrów życiowych. </w:t>
            </w:r>
          </w:p>
        </w:tc>
        <w:tc>
          <w:tcPr>
            <w:tcW w:w="3012" w:type="dxa"/>
            <w:tcBorders>
              <w:top w:val="single" w:sz="4" w:space="0" w:color="auto"/>
              <w:left w:val="single" w:sz="4" w:space="0" w:color="auto"/>
              <w:bottom w:val="single" w:sz="4" w:space="0" w:color="auto"/>
              <w:right w:val="single" w:sz="4" w:space="0" w:color="auto"/>
            </w:tcBorders>
            <w:vAlign w:val="center"/>
          </w:tcPr>
          <w:p w14:paraId="22759943" w14:textId="4C88A77B"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14856917"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48A4853" w14:textId="77777777" w:rsidTr="005C31A8">
        <w:tc>
          <w:tcPr>
            <w:tcW w:w="1742" w:type="dxa"/>
            <w:shd w:val="clear" w:color="auto" w:fill="auto"/>
            <w:vAlign w:val="center"/>
          </w:tcPr>
          <w:p w14:paraId="04871A0B"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DFECFAB" w14:textId="48053826"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Możliwość aktualizacji licencji centralnego systemu monitorowania o funkcjonalność umożliwiającą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3012" w:type="dxa"/>
            <w:tcBorders>
              <w:top w:val="single" w:sz="4" w:space="0" w:color="auto"/>
              <w:left w:val="single" w:sz="4" w:space="0" w:color="auto"/>
              <w:bottom w:val="single" w:sz="4" w:space="0" w:color="auto"/>
              <w:right w:val="single" w:sz="4" w:space="0" w:color="auto"/>
            </w:tcBorders>
            <w:vAlign w:val="center"/>
          </w:tcPr>
          <w:p w14:paraId="4371AB63" w14:textId="0B47D2CA"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7AC8CDC0"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1C0ABD47" w14:textId="77777777" w:rsidTr="005C31A8">
        <w:tc>
          <w:tcPr>
            <w:tcW w:w="1742" w:type="dxa"/>
            <w:shd w:val="clear" w:color="auto" w:fill="auto"/>
            <w:vAlign w:val="center"/>
          </w:tcPr>
          <w:p w14:paraId="175C12D0"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24A709B" w14:textId="630C0E21"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System centralnego monitorowania musi umożliwiać podgląd z centrali w dyżurce lekarskiej z wykorzystaniem funkcjonalności podglądu danych z centrali poprzez dedykowaną aplikację producenta. Aplikacja musi umożliwiać wybór stanowisk podglądanych spośród obu stacji roboczych z różnych oddziałów oraz posiadać możliwość wydruku danych. Przegląd danych historycznych musi zawierać także przegląd kardiologiczny (krzywe EKG + uśrednione 1-minutowe fragmenty ST + statystyki EKG), przegląd 12-odprowadzeniowego EKG oraz przegląd alarmów.    </w:t>
            </w:r>
          </w:p>
        </w:tc>
        <w:tc>
          <w:tcPr>
            <w:tcW w:w="3012" w:type="dxa"/>
            <w:tcBorders>
              <w:top w:val="single" w:sz="4" w:space="0" w:color="auto"/>
              <w:left w:val="single" w:sz="4" w:space="0" w:color="auto"/>
              <w:bottom w:val="single" w:sz="4" w:space="0" w:color="auto"/>
              <w:right w:val="single" w:sz="4" w:space="0" w:color="auto"/>
            </w:tcBorders>
            <w:vAlign w:val="center"/>
          </w:tcPr>
          <w:p w14:paraId="3CCEC93E" w14:textId="6086F0D0"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640B2EAE"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30E43846" w14:textId="77777777" w:rsidTr="005C31A8">
        <w:tc>
          <w:tcPr>
            <w:tcW w:w="1742" w:type="dxa"/>
            <w:shd w:val="clear" w:color="auto" w:fill="auto"/>
            <w:vAlign w:val="center"/>
          </w:tcPr>
          <w:p w14:paraId="2A0EFB8F"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3E4FB005"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System monitorowania umożliwia doposażenie w oprogramowanie do archiwizacji i analizy badań EKG. Rozwiązanie składa się z systemu do archiwizacji, analizy i opisu badań 12 odprowadzeniowego EKG. </w:t>
            </w:r>
            <w:r w:rsidRPr="005C31A8">
              <w:rPr>
                <w:rFonts w:asciiTheme="minorHAnsi" w:hAnsiTheme="minorHAnsi" w:cstheme="minorHAnsi"/>
                <w:sz w:val="20"/>
                <w:szCs w:val="20"/>
              </w:rPr>
              <w:br/>
              <w:t>Opis systemu:</w:t>
            </w:r>
            <w:r w:rsidRPr="005C31A8">
              <w:rPr>
                <w:rFonts w:asciiTheme="minorHAnsi" w:hAnsiTheme="minorHAnsi" w:cstheme="minorHAnsi"/>
                <w:sz w:val="20"/>
                <w:szCs w:val="20"/>
              </w:rPr>
              <w:br/>
              <w:t>- ponowna analiza zarchiwizowanych badań (przechowanie zapisów cyfrowych w formacji XML) oraz w formacie PDF</w:t>
            </w:r>
            <w:r w:rsidRPr="005C31A8">
              <w:rPr>
                <w:rFonts w:asciiTheme="minorHAnsi" w:hAnsiTheme="minorHAnsi" w:cstheme="minorHAnsi"/>
                <w:sz w:val="20"/>
                <w:szCs w:val="20"/>
              </w:rPr>
              <w:br/>
              <w:t>- przechowywanie do min. 500 000 źródłowych badań EKG, bezterminowa licencja na dostarczone oprogramowanie oraz nieograniczona ilość urządzeń(kardiomonitorów, aparatów EKG) pracujących jednocześnie w systemie</w:t>
            </w:r>
            <w:r w:rsidRPr="005C31A8">
              <w:rPr>
                <w:rFonts w:asciiTheme="minorHAnsi" w:hAnsiTheme="minorHAnsi" w:cstheme="minorHAnsi"/>
                <w:sz w:val="20"/>
                <w:szCs w:val="20"/>
              </w:rPr>
              <w:br/>
              <w:t>- funkcje pomiarowe: filtry pozwalające na wygładzenie linii przebiegów EKG, zwiększenie lub zmniejszenie prędkości przesuwu, manualne dokonywanie pomiarów za pomocą opcji cyrkla pomiarowego, pomiar odcinka PR, czas trwania QRS, QT, pomiar interwałów RR.</w:t>
            </w:r>
            <w:r w:rsidRPr="005C31A8">
              <w:rPr>
                <w:rFonts w:asciiTheme="minorHAnsi" w:hAnsiTheme="minorHAnsi" w:cstheme="minorHAnsi"/>
                <w:sz w:val="20"/>
                <w:szCs w:val="20"/>
              </w:rPr>
              <w:br/>
              <w:t xml:space="preserve">System oparty na bazie danych (np. MS SQL </w:t>
            </w:r>
            <w:proofErr w:type="spellStart"/>
            <w:r w:rsidRPr="005C31A8">
              <w:rPr>
                <w:rFonts w:asciiTheme="minorHAnsi" w:hAnsiTheme="minorHAnsi" w:cstheme="minorHAnsi"/>
                <w:sz w:val="20"/>
                <w:szCs w:val="20"/>
              </w:rPr>
              <w:t>server</w:t>
            </w:r>
            <w:proofErr w:type="spellEnd"/>
            <w:r w:rsidRPr="005C31A8">
              <w:rPr>
                <w:rFonts w:asciiTheme="minorHAnsi" w:hAnsiTheme="minorHAnsi" w:cstheme="minorHAnsi"/>
                <w:sz w:val="20"/>
                <w:szCs w:val="20"/>
              </w:rPr>
              <w:t xml:space="preserve">, Oracle). </w:t>
            </w:r>
          </w:p>
          <w:p w14:paraId="12207A73"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lastRenderedPageBreak/>
              <w:t xml:space="preserve">Możliwość przeglądu i analizy danych poprzez przeglądarkę internetową. </w:t>
            </w:r>
            <w:r w:rsidRPr="005C31A8">
              <w:rPr>
                <w:rFonts w:asciiTheme="minorHAnsi" w:hAnsiTheme="minorHAnsi" w:cstheme="minorHAnsi"/>
                <w:sz w:val="20"/>
                <w:szCs w:val="20"/>
              </w:rPr>
              <w:br/>
              <w:t>Dostawca musi zapewnić:</w:t>
            </w:r>
          </w:p>
          <w:p w14:paraId="03063DF6" w14:textId="77777777"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koszty dostawy, instalacji oraz uruchomienie całości zamówienia</w:t>
            </w:r>
          </w:p>
          <w:p w14:paraId="1BD574D8" w14:textId="2183B1FA"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niezbędne licencje na oprogramowanie standardowe typu systemy operacyjne, systemy bazo-</w:t>
            </w:r>
            <w:proofErr w:type="spellStart"/>
            <w:r w:rsidRPr="005C31A8">
              <w:rPr>
                <w:rFonts w:asciiTheme="minorHAnsi" w:hAnsiTheme="minorHAnsi" w:cstheme="minorHAnsi"/>
                <w:sz w:val="20"/>
                <w:szCs w:val="20"/>
              </w:rPr>
              <w:t>danowe</w:t>
            </w:r>
            <w:proofErr w:type="spellEnd"/>
            <w:r w:rsidRPr="005C31A8">
              <w:rPr>
                <w:rFonts w:asciiTheme="minorHAnsi" w:hAnsiTheme="minorHAnsi" w:cstheme="minorHAnsi"/>
                <w:sz w:val="20"/>
                <w:szCs w:val="20"/>
              </w:rPr>
              <w:t xml:space="preserve"> oraz inne wykorzystywane przez siebie niezbędne oprogramowanie.</w:t>
            </w:r>
          </w:p>
        </w:tc>
        <w:tc>
          <w:tcPr>
            <w:tcW w:w="3012" w:type="dxa"/>
            <w:tcBorders>
              <w:top w:val="single" w:sz="4" w:space="0" w:color="auto"/>
              <w:left w:val="single" w:sz="4" w:space="0" w:color="auto"/>
              <w:bottom w:val="single" w:sz="4" w:space="0" w:color="auto"/>
              <w:right w:val="single" w:sz="4" w:space="0" w:color="auto"/>
            </w:tcBorders>
            <w:vAlign w:val="center"/>
          </w:tcPr>
          <w:p w14:paraId="66F0386A" w14:textId="544F92B9"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lastRenderedPageBreak/>
              <w:t>TAK, podać</w:t>
            </w:r>
          </w:p>
        </w:tc>
        <w:tc>
          <w:tcPr>
            <w:tcW w:w="2768" w:type="dxa"/>
            <w:shd w:val="clear" w:color="auto" w:fill="auto"/>
          </w:tcPr>
          <w:p w14:paraId="28B13252"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08AA9EB9" w14:textId="77777777" w:rsidTr="005C31A8">
        <w:tc>
          <w:tcPr>
            <w:tcW w:w="1742" w:type="dxa"/>
            <w:shd w:val="clear" w:color="auto" w:fill="auto"/>
            <w:vAlign w:val="center"/>
          </w:tcPr>
          <w:p w14:paraId="1D472468"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D4C637A" w14:textId="1497D336"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 xml:space="preserve">Zamawiający udostępni sieć LAN do połączenia kardiomonitorów z centralą, min. 1 pkt sieciowy dla każdego monitorowanego łóżka oraz centrali. </w:t>
            </w:r>
          </w:p>
        </w:tc>
        <w:tc>
          <w:tcPr>
            <w:tcW w:w="3012" w:type="dxa"/>
            <w:tcBorders>
              <w:top w:val="single" w:sz="4" w:space="0" w:color="auto"/>
              <w:left w:val="single" w:sz="4" w:space="0" w:color="auto"/>
              <w:bottom w:val="single" w:sz="4" w:space="0" w:color="auto"/>
              <w:right w:val="single" w:sz="4" w:space="0" w:color="auto"/>
            </w:tcBorders>
            <w:vAlign w:val="center"/>
          </w:tcPr>
          <w:p w14:paraId="069113EB" w14:textId="1F8E7458"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w:t>
            </w:r>
          </w:p>
        </w:tc>
        <w:tc>
          <w:tcPr>
            <w:tcW w:w="2768" w:type="dxa"/>
            <w:shd w:val="clear" w:color="auto" w:fill="auto"/>
          </w:tcPr>
          <w:p w14:paraId="06B5D49F"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2F3440A9" w14:textId="77777777" w:rsidTr="005C31A8">
        <w:tc>
          <w:tcPr>
            <w:tcW w:w="1742" w:type="dxa"/>
            <w:shd w:val="clear" w:color="auto" w:fill="auto"/>
            <w:vAlign w:val="center"/>
          </w:tcPr>
          <w:p w14:paraId="50510C6A"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50563139" w14:textId="02A14CDE"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Drukarka laserowa, sieciowa z funkcją duplex podłączona do systemu w formacie A4.</w:t>
            </w:r>
          </w:p>
        </w:tc>
        <w:tc>
          <w:tcPr>
            <w:tcW w:w="3012" w:type="dxa"/>
            <w:tcBorders>
              <w:top w:val="single" w:sz="4" w:space="0" w:color="auto"/>
              <w:left w:val="single" w:sz="4" w:space="0" w:color="auto"/>
              <w:bottom w:val="single" w:sz="4" w:space="0" w:color="auto"/>
              <w:right w:val="single" w:sz="4" w:space="0" w:color="auto"/>
            </w:tcBorders>
            <w:vAlign w:val="center"/>
          </w:tcPr>
          <w:p w14:paraId="15AB3512" w14:textId="010EA057"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 2 sztuki</w:t>
            </w:r>
          </w:p>
        </w:tc>
        <w:tc>
          <w:tcPr>
            <w:tcW w:w="2768" w:type="dxa"/>
            <w:shd w:val="clear" w:color="auto" w:fill="auto"/>
          </w:tcPr>
          <w:p w14:paraId="641FB373"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6BCF23F6" w14:textId="77777777" w:rsidTr="005C31A8">
        <w:tc>
          <w:tcPr>
            <w:tcW w:w="1742" w:type="dxa"/>
            <w:shd w:val="clear" w:color="auto" w:fill="auto"/>
            <w:vAlign w:val="center"/>
          </w:tcPr>
          <w:p w14:paraId="4BEA577B"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782AE026" w14:textId="04A38763"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Zasilacz awaryjny typu UPS.</w:t>
            </w:r>
          </w:p>
        </w:tc>
        <w:tc>
          <w:tcPr>
            <w:tcW w:w="3012" w:type="dxa"/>
            <w:tcBorders>
              <w:top w:val="single" w:sz="4" w:space="0" w:color="auto"/>
              <w:left w:val="single" w:sz="4" w:space="0" w:color="auto"/>
              <w:bottom w:val="single" w:sz="4" w:space="0" w:color="auto"/>
              <w:right w:val="single" w:sz="4" w:space="0" w:color="auto"/>
            </w:tcBorders>
            <w:vAlign w:val="center"/>
          </w:tcPr>
          <w:p w14:paraId="1FE6032C" w14:textId="108D8D8D"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color w:val="000000"/>
                <w:sz w:val="20"/>
                <w:szCs w:val="20"/>
              </w:rPr>
              <w:t>TAK, 2 sztuki</w:t>
            </w:r>
          </w:p>
        </w:tc>
        <w:tc>
          <w:tcPr>
            <w:tcW w:w="2768" w:type="dxa"/>
            <w:shd w:val="clear" w:color="auto" w:fill="auto"/>
          </w:tcPr>
          <w:p w14:paraId="56148214" w14:textId="77777777" w:rsidR="005C31A8" w:rsidRPr="00CC3541" w:rsidRDefault="005C31A8" w:rsidP="005C31A8">
            <w:pPr>
              <w:pStyle w:val="Tekstpodstawowy"/>
              <w:jc w:val="left"/>
              <w:rPr>
                <w:rFonts w:asciiTheme="minorHAnsi" w:hAnsiTheme="minorHAnsi" w:cstheme="minorHAnsi"/>
                <w:b/>
                <w:bCs/>
                <w:i/>
                <w:sz w:val="20"/>
              </w:rPr>
            </w:pPr>
          </w:p>
        </w:tc>
      </w:tr>
      <w:tr w:rsidR="005C31A8" w:rsidRPr="00CC3541" w14:paraId="4F006C1D" w14:textId="77777777" w:rsidTr="005C31A8">
        <w:tc>
          <w:tcPr>
            <w:tcW w:w="1742" w:type="dxa"/>
            <w:shd w:val="clear" w:color="auto" w:fill="auto"/>
            <w:vAlign w:val="center"/>
          </w:tcPr>
          <w:p w14:paraId="3A7F523A" w14:textId="77777777" w:rsidR="005C31A8" w:rsidRPr="00557D74" w:rsidRDefault="005C31A8" w:rsidP="005C31A8">
            <w:pPr>
              <w:pStyle w:val="Tekstpodstawowy"/>
              <w:jc w:val="center"/>
              <w:rPr>
                <w:rFonts w:ascii="Tahoma" w:hAnsi="Tahoma" w:cs="Tahoma"/>
                <w:b/>
                <w:bCs/>
                <w:sz w:val="20"/>
              </w:rPr>
            </w:pPr>
          </w:p>
        </w:tc>
        <w:tc>
          <w:tcPr>
            <w:tcW w:w="7856" w:type="dxa"/>
            <w:tcBorders>
              <w:top w:val="single" w:sz="4" w:space="0" w:color="auto"/>
              <w:left w:val="single" w:sz="4" w:space="0" w:color="auto"/>
              <w:bottom w:val="single" w:sz="4" w:space="0" w:color="auto"/>
              <w:right w:val="single" w:sz="4" w:space="0" w:color="auto"/>
            </w:tcBorders>
            <w:vAlign w:val="center"/>
          </w:tcPr>
          <w:p w14:paraId="41824912" w14:textId="5E40739E" w:rsidR="005C31A8" w:rsidRPr="005C31A8" w:rsidRDefault="005C31A8" w:rsidP="005C31A8">
            <w:pPr>
              <w:rPr>
                <w:rFonts w:asciiTheme="minorHAnsi" w:hAnsiTheme="minorHAnsi" w:cstheme="minorHAnsi"/>
                <w:sz w:val="20"/>
                <w:szCs w:val="20"/>
              </w:rPr>
            </w:pPr>
            <w:r w:rsidRPr="005C31A8">
              <w:rPr>
                <w:rFonts w:asciiTheme="minorHAnsi" w:hAnsiTheme="minorHAnsi" w:cstheme="minorHAnsi"/>
                <w:sz w:val="20"/>
                <w:szCs w:val="20"/>
              </w:rPr>
              <w:t>Gwarancja 36 miesięcy na sprzęt.</w:t>
            </w:r>
          </w:p>
        </w:tc>
        <w:tc>
          <w:tcPr>
            <w:tcW w:w="3012" w:type="dxa"/>
            <w:tcBorders>
              <w:top w:val="single" w:sz="4" w:space="0" w:color="auto"/>
              <w:left w:val="single" w:sz="4" w:space="0" w:color="auto"/>
              <w:bottom w:val="single" w:sz="4" w:space="0" w:color="auto"/>
              <w:right w:val="single" w:sz="4" w:space="0" w:color="auto"/>
            </w:tcBorders>
            <w:vAlign w:val="center"/>
          </w:tcPr>
          <w:p w14:paraId="3E3A14C0" w14:textId="69A0617E" w:rsidR="005C31A8" w:rsidRPr="005C31A8" w:rsidRDefault="005C31A8" w:rsidP="005C31A8">
            <w:pPr>
              <w:jc w:val="center"/>
              <w:rPr>
                <w:rFonts w:asciiTheme="minorHAnsi" w:hAnsiTheme="minorHAnsi" w:cstheme="minorHAnsi"/>
                <w:color w:val="000000"/>
                <w:sz w:val="20"/>
                <w:szCs w:val="20"/>
              </w:rPr>
            </w:pPr>
            <w:r w:rsidRPr="005C31A8">
              <w:rPr>
                <w:rFonts w:asciiTheme="minorHAnsi" w:hAnsiTheme="minorHAnsi" w:cstheme="minorHAnsi"/>
                <w:sz w:val="20"/>
                <w:szCs w:val="20"/>
              </w:rPr>
              <w:t>TAK</w:t>
            </w:r>
          </w:p>
        </w:tc>
        <w:tc>
          <w:tcPr>
            <w:tcW w:w="2768" w:type="dxa"/>
            <w:shd w:val="clear" w:color="auto" w:fill="auto"/>
          </w:tcPr>
          <w:p w14:paraId="553AE217" w14:textId="77777777" w:rsidR="005C31A8" w:rsidRPr="00CC3541" w:rsidRDefault="005C31A8" w:rsidP="005C31A8">
            <w:pPr>
              <w:pStyle w:val="Tekstpodstawowy"/>
              <w:jc w:val="left"/>
              <w:rPr>
                <w:rFonts w:asciiTheme="minorHAnsi" w:hAnsiTheme="minorHAnsi" w:cstheme="minorHAnsi"/>
                <w:b/>
                <w:bCs/>
                <w:i/>
                <w:sz w:val="20"/>
              </w:rPr>
            </w:pPr>
          </w:p>
        </w:tc>
      </w:tr>
      <w:tr w:rsidR="00A733FC" w:rsidRPr="00CC3541" w14:paraId="7A2EE690" w14:textId="77777777" w:rsidTr="00A733FC">
        <w:tc>
          <w:tcPr>
            <w:tcW w:w="1742" w:type="dxa"/>
            <w:shd w:val="clear" w:color="auto" w:fill="D9D9D9" w:themeFill="background1" w:themeFillShade="D9"/>
            <w:vAlign w:val="center"/>
          </w:tcPr>
          <w:p w14:paraId="4DF5B34C" w14:textId="3D98794A" w:rsidR="00A733FC" w:rsidRPr="00557D74" w:rsidRDefault="00A733FC" w:rsidP="00A733FC">
            <w:pPr>
              <w:pStyle w:val="Tekstpodstawowy"/>
              <w:jc w:val="center"/>
              <w:rPr>
                <w:rFonts w:ascii="Tahoma" w:hAnsi="Tahoma" w:cs="Tahoma"/>
                <w:b/>
                <w:bCs/>
                <w:sz w:val="20"/>
              </w:rPr>
            </w:pPr>
            <w:r w:rsidRPr="00894774">
              <w:rPr>
                <w:rFonts w:asciiTheme="minorHAnsi" w:hAnsiTheme="minorHAnsi" w:cstheme="minorHAnsi"/>
                <w:b/>
                <w:bCs/>
                <w:color w:val="000000"/>
                <w:sz w:val="20"/>
              </w:rPr>
              <w:t>II</w:t>
            </w:r>
            <w:r>
              <w:rPr>
                <w:rFonts w:asciiTheme="minorHAnsi" w:hAnsiTheme="minorHAnsi" w:cstheme="minorHAnsi"/>
                <w:b/>
                <w:bCs/>
                <w:color w:val="000000"/>
                <w:sz w:val="20"/>
              </w:rPr>
              <w:t>I</w:t>
            </w: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EC3769" w14:textId="1D71F323" w:rsidR="00A733FC" w:rsidRPr="005C31A8" w:rsidRDefault="00A733FC" w:rsidP="00A733FC">
            <w:pPr>
              <w:rPr>
                <w:rFonts w:asciiTheme="minorHAnsi" w:hAnsiTheme="minorHAnsi" w:cstheme="minorHAnsi"/>
                <w:sz w:val="20"/>
                <w:szCs w:val="20"/>
              </w:rPr>
            </w:pPr>
            <w:r w:rsidRPr="00894774">
              <w:rPr>
                <w:rFonts w:asciiTheme="minorHAnsi" w:hAnsiTheme="minorHAnsi" w:cstheme="minorHAnsi"/>
                <w:b/>
                <w:bCs/>
                <w:sz w:val="20"/>
              </w:rPr>
              <w:t>Warunki gwarancji</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697F4" w14:textId="77777777" w:rsidR="00A733FC" w:rsidRPr="005C31A8" w:rsidRDefault="00A733FC" w:rsidP="00A733FC">
            <w:pPr>
              <w:jc w:val="center"/>
              <w:rPr>
                <w:rFonts w:asciiTheme="minorHAnsi" w:hAnsiTheme="minorHAnsi" w:cstheme="minorHAnsi"/>
                <w:sz w:val="20"/>
                <w:szCs w:val="20"/>
              </w:rPr>
            </w:pPr>
          </w:p>
        </w:tc>
        <w:tc>
          <w:tcPr>
            <w:tcW w:w="2768" w:type="dxa"/>
            <w:shd w:val="clear" w:color="auto" w:fill="D9D9D9" w:themeFill="background1" w:themeFillShade="D9"/>
          </w:tcPr>
          <w:p w14:paraId="27D03931"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1E41DD10" w14:textId="77777777" w:rsidTr="00321487">
        <w:tc>
          <w:tcPr>
            <w:tcW w:w="1742" w:type="dxa"/>
            <w:shd w:val="clear" w:color="auto" w:fill="auto"/>
            <w:vAlign w:val="bottom"/>
          </w:tcPr>
          <w:p w14:paraId="00C04588" w14:textId="5FCA77DE" w:rsidR="00A733FC" w:rsidRPr="00894774" w:rsidRDefault="00A733FC" w:rsidP="00A733FC">
            <w:pPr>
              <w:pStyle w:val="Tekstpodstawowy"/>
              <w:jc w:val="center"/>
              <w:rPr>
                <w:rFonts w:asciiTheme="minorHAnsi" w:hAnsiTheme="minorHAnsi" w:cstheme="minorHAnsi"/>
                <w:b/>
                <w:bCs/>
                <w:color w:val="000000"/>
                <w:sz w:val="20"/>
              </w:rPr>
            </w:pPr>
            <w:r w:rsidRPr="00FA6D4B">
              <w:rPr>
                <w:rFonts w:asciiTheme="minorHAnsi" w:hAnsiTheme="minorHAnsi" w:cstheme="minorHAnsi"/>
                <w:color w:val="000000"/>
                <w:sz w:val="20"/>
              </w:rPr>
              <w:t>1</w:t>
            </w:r>
          </w:p>
        </w:tc>
        <w:tc>
          <w:tcPr>
            <w:tcW w:w="7856" w:type="dxa"/>
            <w:tcBorders>
              <w:top w:val="single" w:sz="4" w:space="0" w:color="auto"/>
              <w:left w:val="single" w:sz="4" w:space="0" w:color="auto"/>
              <w:bottom w:val="single" w:sz="4" w:space="0" w:color="auto"/>
              <w:right w:val="single" w:sz="4" w:space="0" w:color="auto"/>
            </w:tcBorders>
            <w:vAlign w:val="center"/>
          </w:tcPr>
          <w:p w14:paraId="6B3822F5" w14:textId="75655D4E" w:rsidR="00A733FC" w:rsidRPr="00894774" w:rsidRDefault="00A733FC" w:rsidP="00A733FC">
            <w:pPr>
              <w:rPr>
                <w:rFonts w:asciiTheme="minorHAnsi" w:hAnsiTheme="minorHAnsi" w:cstheme="minorHAnsi"/>
                <w:b/>
                <w:bCs/>
                <w:sz w:val="20"/>
              </w:rPr>
            </w:pPr>
            <w:r w:rsidRPr="00FA6D4B">
              <w:rPr>
                <w:rFonts w:asciiTheme="minorHAnsi" w:hAnsiTheme="minorHAnsi" w:cstheme="minorHAnsi"/>
                <w:sz w:val="20"/>
              </w:rPr>
              <w:t>W okresie trwania gwarancji Wykonawca ponosi wszelkie koszty związane z wykonywaniem przeglądów, napraw gwarancyjnych i części podlegających wymianie, dojazdów do Zamawiającego oraz robocizny związanej z wykonywaniem czynności serwisowych</w:t>
            </w:r>
          </w:p>
        </w:tc>
        <w:tc>
          <w:tcPr>
            <w:tcW w:w="3012" w:type="dxa"/>
            <w:tcBorders>
              <w:top w:val="single" w:sz="4" w:space="0" w:color="auto"/>
              <w:left w:val="single" w:sz="4" w:space="0" w:color="auto"/>
              <w:bottom w:val="single" w:sz="4" w:space="0" w:color="auto"/>
              <w:right w:val="single" w:sz="4" w:space="0" w:color="auto"/>
            </w:tcBorders>
            <w:vAlign w:val="center"/>
          </w:tcPr>
          <w:p w14:paraId="63A205D1" w14:textId="4CB97B7C" w:rsidR="00A733FC" w:rsidRPr="005C31A8" w:rsidRDefault="00A733FC" w:rsidP="00A733FC">
            <w:pPr>
              <w:jc w:val="center"/>
              <w:rPr>
                <w:rFonts w:asciiTheme="minorHAnsi" w:hAnsiTheme="minorHAnsi" w:cstheme="minorHAnsi"/>
                <w:sz w:val="20"/>
                <w:szCs w:val="20"/>
              </w:rPr>
            </w:pPr>
            <w:r w:rsidRPr="00FA6D4B">
              <w:rPr>
                <w:rFonts w:asciiTheme="minorHAnsi" w:eastAsia="Calibri" w:hAnsiTheme="minorHAnsi" w:cstheme="minorHAnsi"/>
                <w:bCs/>
                <w:sz w:val="20"/>
              </w:rPr>
              <w:t>TAK</w:t>
            </w:r>
          </w:p>
        </w:tc>
        <w:tc>
          <w:tcPr>
            <w:tcW w:w="2768" w:type="dxa"/>
            <w:shd w:val="clear" w:color="auto" w:fill="auto"/>
          </w:tcPr>
          <w:p w14:paraId="59C60F32"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6E9891E1" w14:textId="77777777" w:rsidTr="00321487">
        <w:tc>
          <w:tcPr>
            <w:tcW w:w="1742" w:type="dxa"/>
            <w:shd w:val="clear" w:color="auto" w:fill="auto"/>
          </w:tcPr>
          <w:p w14:paraId="2494ECFF" w14:textId="6E214FA9" w:rsidR="00A733FC" w:rsidRPr="00FA6D4B" w:rsidRDefault="00A733FC" w:rsidP="00A733FC">
            <w:pPr>
              <w:pStyle w:val="Tekstpodstawowy"/>
              <w:jc w:val="center"/>
              <w:rPr>
                <w:rFonts w:asciiTheme="minorHAnsi" w:hAnsiTheme="minorHAnsi" w:cstheme="minorHAnsi"/>
                <w:color w:val="000000"/>
                <w:sz w:val="20"/>
              </w:rPr>
            </w:pPr>
            <w:r>
              <w:rPr>
                <w:rFonts w:asciiTheme="minorHAnsi" w:hAnsiTheme="minorHAnsi" w:cstheme="minorHAnsi"/>
                <w:iCs/>
                <w:sz w:val="20"/>
              </w:rPr>
              <w:t>2</w:t>
            </w:r>
          </w:p>
        </w:tc>
        <w:tc>
          <w:tcPr>
            <w:tcW w:w="7856" w:type="dxa"/>
            <w:tcBorders>
              <w:top w:val="single" w:sz="4" w:space="0" w:color="auto"/>
              <w:left w:val="single" w:sz="4" w:space="0" w:color="auto"/>
              <w:bottom w:val="single" w:sz="4" w:space="0" w:color="auto"/>
              <w:right w:val="single" w:sz="4" w:space="0" w:color="auto"/>
            </w:tcBorders>
            <w:vAlign w:val="center"/>
          </w:tcPr>
          <w:p w14:paraId="0054CA15" w14:textId="0EF9E808" w:rsidR="00A733FC" w:rsidRPr="00FA6D4B" w:rsidRDefault="00A733FC" w:rsidP="00A733FC">
            <w:pPr>
              <w:rPr>
                <w:rFonts w:asciiTheme="minorHAnsi" w:hAnsiTheme="minorHAnsi" w:cstheme="minorHAnsi"/>
                <w:sz w:val="20"/>
              </w:rPr>
            </w:pPr>
            <w:r w:rsidRPr="00DB307D">
              <w:rPr>
                <w:rFonts w:asciiTheme="minorHAnsi" w:hAnsiTheme="minorHAnsi" w:cstheme="minorHAnsi"/>
                <w:sz w:val="20"/>
                <w:szCs w:val="20"/>
              </w:rPr>
              <w:t>W okresie trwania gwarancji Wykonawca zapewnia 2 przeglądy roczne urządzenia</w:t>
            </w:r>
          </w:p>
        </w:tc>
        <w:tc>
          <w:tcPr>
            <w:tcW w:w="3012" w:type="dxa"/>
            <w:tcBorders>
              <w:top w:val="single" w:sz="4" w:space="0" w:color="auto"/>
              <w:left w:val="single" w:sz="4" w:space="0" w:color="auto"/>
              <w:bottom w:val="single" w:sz="4" w:space="0" w:color="auto"/>
              <w:right w:val="single" w:sz="4" w:space="0" w:color="auto"/>
            </w:tcBorders>
            <w:vAlign w:val="center"/>
          </w:tcPr>
          <w:p w14:paraId="4FD93A21" w14:textId="24472219" w:rsidR="00A733FC" w:rsidRPr="00FA6D4B" w:rsidRDefault="00A733FC" w:rsidP="00A733FC">
            <w:pPr>
              <w:jc w:val="center"/>
              <w:rPr>
                <w:rFonts w:asciiTheme="minorHAnsi" w:eastAsia="Calibri" w:hAnsiTheme="minorHAnsi" w:cstheme="minorHAnsi"/>
                <w:bCs/>
                <w:sz w:val="20"/>
              </w:rPr>
            </w:pPr>
            <w:r w:rsidRPr="00DB307D">
              <w:rPr>
                <w:rFonts w:asciiTheme="minorHAnsi" w:hAnsiTheme="minorHAnsi" w:cstheme="minorHAnsi"/>
                <w:bCs/>
                <w:sz w:val="20"/>
                <w:szCs w:val="20"/>
              </w:rPr>
              <w:t>TAK</w:t>
            </w:r>
          </w:p>
        </w:tc>
        <w:tc>
          <w:tcPr>
            <w:tcW w:w="2768" w:type="dxa"/>
            <w:shd w:val="clear" w:color="auto" w:fill="auto"/>
          </w:tcPr>
          <w:p w14:paraId="5B97EE29"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49512C8F" w14:textId="77777777" w:rsidTr="00321487">
        <w:tc>
          <w:tcPr>
            <w:tcW w:w="1742" w:type="dxa"/>
            <w:shd w:val="clear" w:color="auto" w:fill="auto"/>
          </w:tcPr>
          <w:p w14:paraId="406B0113" w14:textId="4A275206" w:rsidR="00A733FC" w:rsidRDefault="00A733FC" w:rsidP="00A733FC">
            <w:pPr>
              <w:pStyle w:val="Tekstpodstawowy"/>
              <w:jc w:val="center"/>
              <w:rPr>
                <w:rFonts w:asciiTheme="minorHAnsi" w:hAnsiTheme="minorHAnsi" w:cstheme="minorHAnsi"/>
                <w:iCs/>
                <w:sz w:val="20"/>
              </w:rPr>
            </w:pPr>
            <w:r>
              <w:rPr>
                <w:rFonts w:asciiTheme="minorHAnsi" w:hAnsiTheme="minorHAnsi" w:cstheme="minorHAnsi"/>
                <w:iCs/>
                <w:sz w:val="20"/>
              </w:rPr>
              <w:t>3</w:t>
            </w:r>
          </w:p>
        </w:tc>
        <w:tc>
          <w:tcPr>
            <w:tcW w:w="7856" w:type="dxa"/>
            <w:tcBorders>
              <w:top w:val="single" w:sz="4" w:space="0" w:color="auto"/>
              <w:left w:val="single" w:sz="4" w:space="0" w:color="auto"/>
              <w:bottom w:val="single" w:sz="4" w:space="0" w:color="auto"/>
              <w:right w:val="single" w:sz="4" w:space="0" w:color="auto"/>
            </w:tcBorders>
            <w:vAlign w:val="center"/>
          </w:tcPr>
          <w:p w14:paraId="6415167C" w14:textId="6182957B"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sz w:val="20"/>
                <w:szCs w:val="20"/>
              </w:rPr>
              <w:t>Gwarantowany czas przystąpienia do naprawy nie większy niż 48 godzin od zgłoszenia konieczności naprawy</w:t>
            </w:r>
          </w:p>
        </w:tc>
        <w:tc>
          <w:tcPr>
            <w:tcW w:w="3012" w:type="dxa"/>
            <w:tcBorders>
              <w:top w:val="single" w:sz="4" w:space="0" w:color="auto"/>
              <w:left w:val="single" w:sz="4" w:space="0" w:color="auto"/>
              <w:bottom w:val="single" w:sz="4" w:space="0" w:color="auto"/>
              <w:right w:val="single" w:sz="4" w:space="0" w:color="auto"/>
            </w:tcBorders>
            <w:vAlign w:val="center"/>
          </w:tcPr>
          <w:p w14:paraId="180C720F" w14:textId="69AD7FB3" w:rsidR="00A733FC" w:rsidRPr="00DB307D" w:rsidRDefault="00A733FC" w:rsidP="00A733FC">
            <w:pPr>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30806937"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41EC2791" w14:textId="77777777" w:rsidTr="00321487">
        <w:tc>
          <w:tcPr>
            <w:tcW w:w="1742" w:type="dxa"/>
            <w:shd w:val="clear" w:color="auto" w:fill="auto"/>
          </w:tcPr>
          <w:p w14:paraId="01B66A72" w14:textId="1BB6CDD4" w:rsidR="00A733FC" w:rsidRDefault="00A733FC" w:rsidP="00A733FC">
            <w:pPr>
              <w:pStyle w:val="Tekstpodstawowy"/>
              <w:jc w:val="center"/>
              <w:rPr>
                <w:rFonts w:asciiTheme="minorHAnsi" w:hAnsiTheme="minorHAnsi" w:cstheme="minorHAnsi"/>
                <w:iCs/>
                <w:sz w:val="20"/>
              </w:rPr>
            </w:pPr>
            <w:r>
              <w:rPr>
                <w:rFonts w:asciiTheme="minorHAnsi" w:hAnsiTheme="minorHAnsi" w:cstheme="minorHAnsi"/>
                <w:iCs/>
                <w:sz w:val="20"/>
              </w:rPr>
              <w:t>4</w:t>
            </w:r>
          </w:p>
        </w:tc>
        <w:tc>
          <w:tcPr>
            <w:tcW w:w="7856" w:type="dxa"/>
            <w:tcBorders>
              <w:top w:val="single" w:sz="4" w:space="0" w:color="auto"/>
              <w:left w:val="single" w:sz="4" w:space="0" w:color="auto"/>
              <w:bottom w:val="single" w:sz="4" w:space="0" w:color="auto"/>
              <w:right w:val="single" w:sz="4" w:space="0" w:color="auto"/>
            </w:tcBorders>
            <w:vAlign w:val="center"/>
          </w:tcPr>
          <w:p w14:paraId="4E1E43EC" w14:textId="4F0303EC"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sz w:val="20"/>
                <w:szCs w:val="20"/>
              </w:rPr>
              <w:t xml:space="preserve">Gwarantowany czas usunięcia zgłoszonych usterek i wykonania napraw nie większy niż 72 godziny, czas wykonania napraw w przypadku konieczności importu części zamiennych lub podzespołów z zagranicy nie więcej niż 5 dni roboczych od daty zgłoszenia konieczności naprawy. </w:t>
            </w:r>
          </w:p>
        </w:tc>
        <w:tc>
          <w:tcPr>
            <w:tcW w:w="3012" w:type="dxa"/>
            <w:tcBorders>
              <w:top w:val="single" w:sz="4" w:space="0" w:color="auto"/>
              <w:left w:val="single" w:sz="4" w:space="0" w:color="auto"/>
              <w:bottom w:val="single" w:sz="4" w:space="0" w:color="auto"/>
              <w:right w:val="single" w:sz="4" w:space="0" w:color="auto"/>
            </w:tcBorders>
            <w:vAlign w:val="center"/>
          </w:tcPr>
          <w:p w14:paraId="7A208A87" w14:textId="41BA60A2" w:rsidR="00A733FC" w:rsidRPr="00DB307D" w:rsidRDefault="00A733FC" w:rsidP="00A733FC">
            <w:pPr>
              <w:jc w:val="center"/>
              <w:rPr>
                <w:rFonts w:asciiTheme="minorHAnsi" w:hAnsiTheme="minorHAnsi" w:cstheme="minorHAnsi"/>
                <w:bCs/>
                <w:sz w:val="20"/>
                <w:szCs w:val="20"/>
              </w:rPr>
            </w:pPr>
            <w:r w:rsidRPr="00DB307D">
              <w:rPr>
                <w:rFonts w:asciiTheme="minorHAnsi" w:hAnsiTheme="minorHAnsi" w:cstheme="minorHAnsi"/>
                <w:sz w:val="20"/>
                <w:szCs w:val="20"/>
              </w:rPr>
              <w:t>TAK/podać</w:t>
            </w:r>
          </w:p>
        </w:tc>
        <w:tc>
          <w:tcPr>
            <w:tcW w:w="2768" w:type="dxa"/>
            <w:shd w:val="clear" w:color="auto" w:fill="auto"/>
          </w:tcPr>
          <w:p w14:paraId="4D6F4D0F"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0CC74CD0" w14:textId="77777777" w:rsidTr="00321487">
        <w:tc>
          <w:tcPr>
            <w:tcW w:w="1742" w:type="dxa"/>
            <w:shd w:val="clear" w:color="auto" w:fill="auto"/>
          </w:tcPr>
          <w:p w14:paraId="54DA7904" w14:textId="77777777" w:rsidR="00A733FC" w:rsidRPr="00DB307D" w:rsidRDefault="00A733FC" w:rsidP="00A733FC">
            <w:pPr>
              <w:jc w:val="center"/>
              <w:rPr>
                <w:rFonts w:asciiTheme="minorHAnsi" w:hAnsiTheme="minorHAnsi" w:cstheme="minorHAnsi"/>
                <w:iCs/>
                <w:sz w:val="20"/>
                <w:szCs w:val="20"/>
              </w:rPr>
            </w:pPr>
          </w:p>
          <w:p w14:paraId="6BB9A38B" w14:textId="5C6163CC" w:rsidR="00A733FC" w:rsidRDefault="00A733FC" w:rsidP="00A733FC">
            <w:pPr>
              <w:pStyle w:val="Tekstpodstawowy"/>
              <w:jc w:val="center"/>
              <w:rPr>
                <w:rFonts w:asciiTheme="minorHAnsi" w:hAnsiTheme="minorHAnsi" w:cstheme="minorHAnsi"/>
                <w:iCs/>
                <w:sz w:val="20"/>
              </w:rPr>
            </w:pPr>
            <w:r>
              <w:rPr>
                <w:rFonts w:asciiTheme="minorHAnsi" w:hAnsiTheme="minorHAnsi" w:cstheme="minorHAnsi"/>
                <w:iCs/>
                <w:sz w:val="20"/>
              </w:rPr>
              <w:t>5</w:t>
            </w:r>
          </w:p>
        </w:tc>
        <w:tc>
          <w:tcPr>
            <w:tcW w:w="7856" w:type="dxa"/>
            <w:tcBorders>
              <w:top w:val="single" w:sz="4" w:space="0" w:color="auto"/>
              <w:left w:val="single" w:sz="4" w:space="0" w:color="auto"/>
              <w:bottom w:val="single" w:sz="4" w:space="0" w:color="auto"/>
              <w:right w:val="single" w:sz="4" w:space="0" w:color="auto"/>
            </w:tcBorders>
            <w:vAlign w:val="center"/>
          </w:tcPr>
          <w:p w14:paraId="4BC409D3" w14:textId="1F3E5EAE"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iCs/>
                <w:sz w:val="20"/>
                <w:szCs w:val="20"/>
              </w:rPr>
              <w:t xml:space="preserve">Dopuszcza się dwie naprawy gwarancyjne (będące konsekwencją ukrytych wad produkcyjnych tkwiących w urządzeniu) tego samego elementu lub podzespołu w okresie gwarancji, po których całe urządzenie zostanie wymienione na nowej tej samej klasy i o tych samych parametrach </w:t>
            </w:r>
          </w:p>
        </w:tc>
        <w:tc>
          <w:tcPr>
            <w:tcW w:w="3012" w:type="dxa"/>
            <w:tcBorders>
              <w:top w:val="single" w:sz="4" w:space="0" w:color="auto"/>
              <w:left w:val="single" w:sz="4" w:space="0" w:color="auto"/>
              <w:bottom w:val="single" w:sz="4" w:space="0" w:color="auto"/>
              <w:right w:val="single" w:sz="4" w:space="0" w:color="auto"/>
            </w:tcBorders>
            <w:vAlign w:val="center"/>
          </w:tcPr>
          <w:p w14:paraId="3AB9C715" w14:textId="36C2FD52" w:rsidR="00A733FC" w:rsidRPr="00DB307D" w:rsidRDefault="00A733FC" w:rsidP="00A733FC">
            <w:pPr>
              <w:jc w:val="center"/>
              <w:rPr>
                <w:rFonts w:asciiTheme="minorHAnsi" w:hAnsiTheme="minorHAnsi" w:cstheme="minorHAnsi"/>
                <w:sz w:val="20"/>
                <w:szCs w:val="20"/>
              </w:rPr>
            </w:pPr>
            <w:r w:rsidRPr="00DB307D">
              <w:rPr>
                <w:rFonts w:asciiTheme="minorHAnsi" w:hAnsiTheme="minorHAnsi" w:cstheme="minorHAnsi"/>
                <w:sz w:val="20"/>
                <w:szCs w:val="20"/>
              </w:rPr>
              <w:t>TAK</w:t>
            </w:r>
          </w:p>
        </w:tc>
        <w:tc>
          <w:tcPr>
            <w:tcW w:w="2768" w:type="dxa"/>
            <w:shd w:val="clear" w:color="auto" w:fill="auto"/>
          </w:tcPr>
          <w:p w14:paraId="04174BE5"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0CA73268" w14:textId="77777777" w:rsidTr="00321487">
        <w:tc>
          <w:tcPr>
            <w:tcW w:w="1742" w:type="dxa"/>
            <w:shd w:val="clear" w:color="auto" w:fill="auto"/>
          </w:tcPr>
          <w:p w14:paraId="7C36C30F" w14:textId="054572E3" w:rsidR="00A733FC" w:rsidRPr="00DB307D" w:rsidRDefault="00A733FC" w:rsidP="00A733FC">
            <w:pPr>
              <w:jc w:val="center"/>
              <w:rPr>
                <w:rFonts w:asciiTheme="minorHAnsi" w:hAnsiTheme="minorHAnsi" w:cstheme="minorHAnsi"/>
                <w:iCs/>
                <w:sz w:val="20"/>
                <w:szCs w:val="20"/>
              </w:rPr>
            </w:pPr>
            <w:r>
              <w:rPr>
                <w:rFonts w:asciiTheme="minorHAnsi" w:hAnsiTheme="minorHAnsi" w:cstheme="minorHAnsi"/>
                <w:iCs/>
                <w:sz w:val="20"/>
              </w:rPr>
              <w:t>6</w:t>
            </w:r>
          </w:p>
        </w:tc>
        <w:tc>
          <w:tcPr>
            <w:tcW w:w="7856" w:type="dxa"/>
            <w:tcBorders>
              <w:top w:val="single" w:sz="4" w:space="0" w:color="auto"/>
              <w:left w:val="single" w:sz="4" w:space="0" w:color="auto"/>
              <w:bottom w:val="single" w:sz="4" w:space="0" w:color="auto"/>
              <w:right w:val="single" w:sz="4" w:space="0" w:color="auto"/>
            </w:tcBorders>
            <w:vAlign w:val="center"/>
          </w:tcPr>
          <w:p w14:paraId="54551D4B" w14:textId="77777777"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sz w:val="20"/>
                <w:szCs w:val="20"/>
              </w:rPr>
              <w:t>Nazwa serwisu, adres, nr telefonu i faksu, osoba kontaktowa</w:t>
            </w:r>
          </w:p>
          <w:p w14:paraId="5BE61800" w14:textId="77777777" w:rsidR="00A733FC" w:rsidRPr="00DB307D" w:rsidRDefault="00A733FC" w:rsidP="00A733FC">
            <w:pPr>
              <w:rPr>
                <w:rFonts w:asciiTheme="minorHAnsi" w:hAnsiTheme="minorHAnsi" w:cstheme="minorHAnsi"/>
                <w:iCs/>
                <w:sz w:val="20"/>
                <w:szCs w:val="20"/>
              </w:rPr>
            </w:pPr>
          </w:p>
        </w:tc>
        <w:tc>
          <w:tcPr>
            <w:tcW w:w="3012" w:type="dxa"/>
            <w:tcBorders>
              <w:top w:val="single" w:sz="4" w:space="0" w:color="auto"/>
              <w:left w:val="single" w:sz="4" w:space="0" w:color="auto"/>
              <w:bottom w:val="single" w:sz="4" w:space="0" w:color="auto"/>
              <w:right w:val="single" w:sz="4" w:space="0" w:color="auto"/>
            </w:tcBorders>
            <w:vAlign w:val="center"/>
          </w:tcPr>
          <w:p w14:paraId="25339417" w14:textId="6051B43D" w:rsidR="00A733FC" w:rsidRPr="00DB307D" w:rsidRDefault="00A733FC" w:rsidP="00A733FC">
            <w:pPr>
              <w:jc w:val="center"/>
              <w:rPr>
                <w:rFonts w:asciiTheme="minorHAnsi" w:hAnsiTheme="minorHAnsi" w:cstheme="minorHAnsi"/>
                <w:sz w:val="20"/>
                <w:szCs w:val="20"/>
              </w:rPr>
            </w:pPr>
            <w:r w:rsidRPr="00DB307D">
              <w:rPr>
                <w:rFonts w:asciiTheme="minorHAnsi" w:hAnsiTheme="minorHAnsi" w:cstheme="minorHAnsi"/>
                <w:sz w:val="20"/>
                <w:szCs w:val="20"/>
              </w:rPr>
              <w:t>TAK/podać</w:t>
            </w:r>
          </w:p>
        </w:tc>
        <w:tc>
          <w:tcPr>
            <w:tcW w:w="2768" w:type="dxa"/>
            <w:shd w:val="clear" w:color="auto" w:fill="auto"/>
          </w:tcPr>
          <w:p w14:paraId="46C4F2E6"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01758595" w14:textId="77777777" w:rsidTr="00321487">
        <w:tc>
          <w:tcPr>
            <w:tcW w:w="1742" w:type="dxa"/>
            <w:shd w:val="clear" w:color="auto" w:fill="auto"/>
          </w:tcPr>
          <w:p w14:paraId="72E87F26" w14:textId="14925F93" w:rsidR="00A733FC" w:rsidRDefault="00A733FC" w:rsidP="00A733FC">
            <w:pPr>
              <w:jc w:val="center"/>
              <w:rPr>
                <w:rFonts w:asciiTheme="minorHAnsi" w:hAnsiTheme="minorHAnsi" w:cstheme="minorHAnsi"/>
                <w:iCs/>
                <w:sz w:val="20"/>
              </w:rPr>
            </w:pPr>
            <w:r>
              <w:rPr>
                <w:rFonts w:asciiTheme="minorHAnsi" w:hAnsiTheme="minorHAnsi" w:cstheme="minorHAnsi"/>
                <w:iCs/>
                <w:sz w:val="20"/>
              </w:rPr>
              <w:t>7</w:t>
            </w:r>
          </w:p>
        </w:tc>
        <w:tc>
          <w:tcPr>
            <w:tcW w:w="7856" w:type="dxa"/>
            <w:tcBorders>
              <w:top w:val="single" w:sz="4" w:space="0" w:color="auto"/>
              <w:left w:val="single" w:sz="4" w:space="0" w:color="auto"/>
              <w:bottom w:val="single" w:sz="4" w:space="0" w:color="auto"/>
              <w:right w:val="single" w:sz="4" w:space="0" w:color="auto"/>
            </w:tcBorders>
            <w:vAlign w:val="center"/>
          </w:tcPr>
          <w:p w14:paraId="5C62BDB4" w14:textId="4E6957F4"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sz w:val="20"/>
                <w:szCs w:val="20"/>
              </w:rPr>
              <w:t>Dostępność części zamiennych do oferowanego modelu aparatu przez min. 10 lat od daty instalacji</w:t>
            </w:r>
          </w:p>
        </w:tc>
        <w:tc>
          <w:tcPr>
            <w:tcW w:w="3012" w:type="dxa"/>
            <w:tcBorders>
              <w:top w:val="single" w:sz="4" w:space="0" w:color="auto"/>
              <w:left w:val="single" w:sz="4" w:space="0" w:color="auto"/>
              <w:bottom w:val="single" w:sz="4" w:space="0" w:color="auto"/>
              <w:right w:val="single" w:sz="4" w:space="0" w:color="auto"/>
            </w:tcBorders>
            <w:vAlign w:val="center"/>
          </w:tcPr>
          <w:p w14:paraId="5314879E" w14:textId="3A6010E8" w:rsidR="00A733FC" w:rsidRPr="00DB307D" w:rsidRDefault="00A733FC" w:rsidP="00A733FC">
            <w:pPr>
              <w:jc w:val="center"/>
              <w:rPr>
                <w:rFonts w:asciiTheme="minorHAnsi" w:hAnsiTheme="minorHAnsi" w:cstheme="minorHAnsi"/>
                <w:sz w:val="20"/>
                <w:szCs w:val="20"/>
              </w:rPr>
            </w:pPr>
            <w:r w:rsidRPr="00DB307D">
              <w:rPr>
                <w:rFonts w:asciiTheme="minorHAnsi" w:hAnsiTheme="minorHAnsi" w:cstheme="minorHAnsi"/>
                <w:bCs/>
                <w:sz w:val="20"/>
                <w:szCs w:val="20"/>
              </w:rPr>
              <w:t>TAK</w:t>
            </w:r>
          </w:p>
        </w:tc>
        <w:tc>
          <w:tcPr>
            <w:tcW w:w="2768" w:type="dxa"/>
            <w:shd w:val="clear" w:color="auto" w:fill="auto"/>
          </w:tcPr>
          <w:p w14:paraId="55A3A172"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6C552F2B" w14:textId="77777777" w:rsidTr="00321487">
        <w:tc>
          <w:tcPr>
            <w:tcW w:w="1742" w:type="dxa"/>
            <w:shd w:val="clear" w:color="auto" w:fill="auto"/>
          </w:tcPr>
          <w:p w14:paraId="7E7BCB6C" w14:textId="1AFF8474" w:rsidR="00A733FC" w:rsidRDefault="00A733FC" w:rsidP="00A733FC">
            <w:pPr>
              <w:jc w:val="center"/>
              <w:rPr>
                <w:rFonts w:asciiTheme="minorHAnsi" w:hAnsiTheme="minorHAnsi" w:cstheme="minorHAnsi"/>
                <w:iCs/>
                <w:sz w:val="20"/>
              </w:rPr>
            </w:pPr>
            <w:r>
              <w:rPr>
                <w:rFonts w:asciiTheme="minorHAnsi" w:hAnsiTheme="minorHAnsi" w:cstheme="minorHAnsi"/>
                <w:iCs/>
                <w:sz w:val="20"/>
              </w:rPr>
              <w:t>8</w:t>
            </w:r>
          </w:p>
        </w:tc>
        <w:tc>
          <w:tcPr>
            <w:tcW w:w="7856" w:type="dxa"/>
            <w:tcBorders>
              <w:top w:val="single" w:sz="4" w:space="0" w:color="auto"/>
              <w:left w:val="single" w:sz="4" w:space="0" w:color="auto"/>
              <w:bottom w:val="single" w:sz="4" w:space="0" w:color="auto"/>
              <w:right w:val="single" w:sz="4" w:space="0" w:color="auto"/>
            </w:tcBorders>
            <w:vAlign w:val="center"/>
          </w:tcPr>
          <w:p w14:paraId="6E37D75B" w14:textId="5789051F" w:rsidR="00A733FC" w:rsidRPr="00DB307D" w:rsidRDefault="00A733FC" w:rsidP="00A733FC">
            <w:pPr>
              <w:rPr>
                <w:rFonts w:asciiTheme="minorHAnsi" w:hAnsiTheme="minorHAnsi" w:cstheme="minorHAnsi"/>
                <w:sz w:val="20"/>
                <w:szCs w:val="20"/>
              </w:rPr>
            </w:pPr>
            <w:r w:rsidRPr="00DB307D">
              <w:rPr>
                <w:rFonts w:asciiTheme="minorHAnsi" w:hAnsiTheme="minorHAnsi" w:cstheme="minorHAnsi"/>
                <w:iCs/>
                <w:sz w:val="20"/>
                <w:szCs w:val="20"/>
              </w:rPr>
              <w:t>Serwis gwarancyjny świadczony będzie przez podmiot autoryzowany przez Producenta, świadczący usługi w miejscu instalacji lub na terenie Polski</w:t>
            </w:r>
          </w:p>
        </w:tc>
        <w:tc>
          <w:tcPr>
            <w:tcW w:w="3012" w:type="dxa"/>
            <w:tcBorders>
              <w:top w:val="single" w:sz="4" w:space="0" w:color="auto"/>
              <w:left w:val="single" w:sz="4" w:space="0" w:color="auto"/>
              <w:bottom w:val="single" w:sz="4" w:space="0" w:color="auto"/>
              <w:right w:val="single" w:sz="4" w:space="0" w:color="auto"/>
            </w:tcBorders>
            <w:vAlign w:val="center"/>
          </w:tcPr>
          <w:p w14:paraId="6F4DB844" w14:textId="3E964BD5" w:rsidR="00A733FC" w:rsidRPr="00DB307D" w:rsidRDefault="00A733FC" w:rsidP="00A733FC">
            <w:pPr>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13A2EC70" w14:textId="77777777" w:rsidR="00A733FC" w:rsidRPr="00CC3541" w:rsidRDefault="00A733FC" w:rsidP="00A733FC">
            <w:pPr>
              <w:pStyle w:val="Tekstpodstawowy"/>
              <w:jc w:val="left"/>
              <w:rPr>
                <w:rFonts w:asciiTheme="minorHAnsi" w:hAnsiTheme="minorHAnsi" w:cstheme="minorHAnsi"/>
                <w:b/>
                <w:bCs/>
                <w:i/>
                <w:sz w:val="20"/>
              </w:rPr>
            </w:pPr>
          </w:p>
        </w:tc>
      </w:tr>
      <w:tr w:rsidR="00A733FC" w:rsidRPr="00CC3541" w14:paraId="5D020902" w14:textId="77777777" w:rsidTr="00321487">
        <w:tc>
          <w:tcPr>
            <w:tcW w:w="1742" w:type="dxa"/>
            <w:shd w:val="clear" w:color="auto" w:fill="auto"/>
            <w:vAlign w:val="center"/>
          </w:tcPr>
          <w:p w14:paraId="1E3E4F8F" w14:textId="322087F7" w:rsidR="00A733FC" w:rsidRDefault="00A733FC" w:rsidP="00A733FC">
            <w:pPr>
              <w:jc w:val="center"/>
              <w:rPr>
                <w:rFonts w:asciiTheme="minorHAnsi" w:hAnsiTheme="minorHAnsi" w:cstheme="minorHAnsi"/>
                <w:iCs/>
                <w:sz w:val="20"/>
              </w:rPr>
            </w:pPr>
            <w:r w:rsidRPr="00DB307D">
              <w:rPr>
                <w:rFonts w:asciiTheme="minorHAnsi" w:hAnsiTheme="minorHAnsi" w:cstheme="minorHAnsi"/>
                <w:iCs/>
                <w:sz w:val="20"/>
                <w:szCs w:val="20"/>
              </w:rPr>
              <w:t>9</w:t>
            </w:r>
          </w:p>
        </w:tc>
        <w:tc>
          <w:tcPr>
            <w:tcW w:w="7856" w:type="dxa"/>
            <w:tcBorders>
              <w:top w:val="single" w:sz="4" w:space="0" w:color="auto"/>
              <w:left w:val="single" w:sz="4" w:space="0" w:color="auto"/>
              <w:bottom w:val="single" w:sz="4" w:space="0" w:color="auto"/>
              <w:right w:val="single" w:sz="4" w:space="0" w:color="auto"/>
            </w:tcBorders>
            <w:vAlign w:val="center"/>
          </w:tcPr>
          <w:p w14:paraId="577EF1B9" w14:textId="27F17666" w:rsidR="00A733FC" w:rsidRPr="00DB307D" w:rsidRDefault="00A733FC" w:rsidP="00A733FC">
            <w:pPr>
              <w:rPr>
                <w:rFonts w:asciiTheme="minorHAnsi" w:hAnsiTheme="minorHAnsi" w:cstheme="minorHAnsi"/>
                <w:iCs/>
                <w:sz w:val="20"/>
                <w:szCs w:val="20"/>
              </w:rPr>
            </w:pPr>
            <w:r w:rsidRPr="00DB307D">
              <w:rPr>
                <w:rFonts w:asciiTheme="minorHAnsi" w:hAnsiTheme="minorHAnsi" w:cstheme="minorHAnsi"/>
                <w:color w:val="000000"/>
                <w:sz w:val="20"/>
                <w:szCs w:val="20"/>
              </w:rPr>
              <w:t xml:space="preserve">Wykonawca w przypadku wyboru jego oferty zobowiązany jest przeprowadzić szkolenie osób spośród personelu Zamawiającego tj. pracowników zatrudnionych w </w:t>
            </w:r>
            <w:proofErr w:type="spellStart"/>
            <w:r w:rsidRPr="00DB307D">
              <w:rPr>
                <w:rFonts w:asciiTheme="minorHAnsi" w:hAnsiTheme="minorHAnsi" w:cstheme="minorHAnsi"/>
                <w:color w:val="000000"/>
                <w:sz w:val="20"/>
                <w:szCs w:val="20"/>
              </w:rPr>
              <w:t>WWCOiT</w:t>
            </w:r>
            <w:proofErr w:type="spellEnd"/>
            <w:r w:rsidRPr="00DB307D">
              <w:rPr>
                <w:rFonts w:asciiTheme="minorHAnsi" w:hAnsiTheme="minorHAnsi" w:cstheme="minorHAnsi"/>
                <w:color w:val="000000"/>
                <w:sz w:val="20"/>
                <w:szCs w:val="20"/>
              </w:rPr>
              <w:t xml:space="preserve"> im. M. Kopernika  w Łodzi w zakresie zapewniającym bezpieczną obsługę przedmiotu zamówienia. </w:t>
            </w:r>
            <w:r w:rsidRPr="00DB307D">
              <w:rPr>
                <w:rFonts w:asciiTheme="minorHAnsi" w:hAnsiTheme="minorHAnsi" w:cstheme="minorHAnsi"/>
                <w:sz w:val="20"/>
                <w:szCs w:val="20"/>
              </w:rPr>
              <w:t xml:space="preserve">Zamawiający przekaże Wykonawcy listę  osób do szkolenia oraz wydeleguje personel na szkolenie  we wspólnie ustalonym między Stronami okresie, umożliwiającym Wykonawcy realizację przedmiotu zamówienia w terminie określonym w §2 ust.1 umowy </w:t>
            </w:r>
          </w:p>
        </w:tc>
        <w:tc>
          <w:tcPr>
            <w:tcW w:w="3012" w:type="dxa"/>
            <w:tcBorders>
              <w:top w:val="single" w:sz="4" w:space="0" w:color="auto"/>
              <w:left w:val="single" w:sz="4" w:space="0" w:color="auto"/>
              <w:bottom w:val="single" w:sz="4" w:space="0" w:color="auto"/>
              <w:right w:val="single" w:sz="4" w:space="0" w:color="auto"/>
            </w:tcBorders>
            <w:vAlign w:val="center"/>
          </w:tcPr>
          <w:p w14:paraId="3C0C18B4" w14:textId="7920D348" w:rsidR="00A733FC" w:rsidRPr="00DB307D" w:rsidRDefault="00A733FC" w:rsidP="00A733FC">
            <w:pPr>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371C8AB5" w14:textId="77777777" w:rsidR="00A733FC" w:rsidRPr="00CC3541" w:rsidRDefault="00A733FC" w:rsidP="00A733FC">
            <w:pPr>
              <w:pStyle w:val="Tekstpodstawowy"/>
              <w:jc w:val="left"/>
              <w:rPr>
                <w:rFonts w:asciiTheme="minorHAnsi" w:hAnsiTheme="minorHAnsi" w:cstheme="minorHAnsi"/>
                <w:b/>
                <w:bCs/>
                <w:i/>
                <w:sz w:val="20"/>
              </w:rPr>
            </w:pPr>
          </w:p>
        </w:tc>
      </w:tr>
    </w:tbl>
    <w:p w14:paraId="6F721A5D" w14:textId="77777777" w:rsidR="00B61689" w:rsidRPr="00D84E0F" w:rsidRDefault="00B61689" w:rsidP="000A6993">
      <w:pPr>
        <w:ind w:left="1276" w:hanging="1276"/>
        <w:jc w:val="both"/>
        <w:rPr>
          <w:rFonts w:asciiTheme="minorHAnsi" w:hAnsiTheme="minorHAnsi" w:cstheme="minorHAnsi"/>
          <w:b/>
          <w:bCs/>
          <w:sz w:val="20"/>
          <w:szCs w:val="20"/>
        </w:rPr>
      </w:pPr>
    </w:p>
    <w:p w14:paraId="0FB321FB" w14:textId="77777777" w:rsidR="009C2BCD" w:rsidRPr="00D84E0F" w:rsidRDefault="009C2BCD" w:rsidP="001867CF">
      <w:pPr>
        <w:pStyle w:val="Tekstpodstawowy"/>
        <w:rPr>
          <w:rFonts w:asciiTheme="minorHAnsi" w:hAnsiTheme="minorHAnsi" w:cstheme="minorHAnsi"/>
          <w:b/>
          <w:bCs/>
          <w:sz w:val="20"/>
        </w:rPr>
      </w:pPr>
    </w:p>
    <w:sectPr w:rsidR="009C2BCD" w:rsidRPr="00D84E0F"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14"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CA39A4"/>
    <w:multiLevelType w:val="hybridMultilevel"/>
    <w:tmpl w:val="25BAB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7A72AA"/>
    <w:multiLevelType w:val="hybridMultilevel"/>
    <w:tmpl w:val="BA40D1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47690392">
    <w:abstractNumId w:val="6"/>
  </w:num>
  <w:num w:numId="2" w16cid:durableId="1733649146">
    <w:abstractNumId w:val="13"/>
  </w:num>
  <w:num w:numId="3" w16cid:durableId="366681696">
    <w:abstractNumId w:val="42"/>
  </w:num>
  <w:num w:numId="4" w16cid:durableId="1980573529">
    <w:abstractNumId w:val="18"/>
  </w:num>
  <w:num w:numId="5" w16cid:durableId="301540573">
    <w:abstractNumId w:val="3"/>
  </w:num>
  <w:num w:numId="6" w16cid:durableId="1303079493">
    <w:abstractNumId w:val="19"/>
  </w:num>
  <w:num w:numId="7" w16cid:durableId="1957058578">
    <w:abstractNumId w:val="14"/>
  </w:num>
  <w:num w:numId="8" w16cid:durableId="1826048986">
    <w:abstractNumId w:val="25"/>
  </w:num>
  <w:num w:numId="9" w16cid:durableId="1098253780">
    <w:abstractNumId w:val="4"/>
  </w:num>
  <w:num w:numId="10" w16cid:durableId="2043089410">
    <w:abstractNumId w:val="10"/>
  </w:num>
  <w:num w:numId="11" w16cid:durableId="1070345068">
    <w:abstractNumId w:val="41"/>
  </w:num>
  <w:num w:numId="12" w16cid:durableId="1162548060">
    <w:abstractNumId w:val="39"/>
  </w:num>
  <w:num w:numId="13" w16cid:durableId="249123888">
    <w:abstractNumId w:val="43"/>
  </w:num>
  <w:num w:numId="14" w16cid:durableId="1549605637">
    <w:abstractNumId w:val="31"/>
  </w:num>
  <w:num w:numId="15" w16cid:durableId="1937058654">
    <w:abstractNumId w:val="5"/>
  </w:num>
  <w:num w:numId="16" w16cid:durableId="1560432488">
    <w:abstractNumId w:val="34"/>
  </w:num>
  <w:num w:numId="17" w16cid:durableId="236325490">
    <w:abstractNumId w:val="12"/>
  </w:num>
  <w:num w:numId="18" w16cid:durableId="1130974252">
    <w:abstractNumId w:val="29"/>
  </w:num>
  <w:num w:numId="19" w16cid:durableId="10305865">
    <w:abstractNumId w:val="36"/>
  </w:num>
  <w:num w:numId="20" w16cid:durableId="1239293891">
    <w:abstractNumId w:val="9"/>
  </w:num>
  <w:num w:numId="21" w16cid:durableId="1859074620">
    <w:abstractNumId w:val="8"/>
  </w:num>
  <w:num w:numId="22" w16cid:durableId="2044280440">
    <w:abstractNumId w:val="15"/>
  </w:num>
  <w:num w:numId="23" w16cid:durableId="873277082">
    <w:abstractNumId w:val="1"/>
  </w:num>
  <w:num w:numId="24" w16cid:durableId="150490446">
    <w:abstractNumId w:val="23"/>
  </w:num>
  <w:num w:numId="25" w16cid:durableId="930091110">
    <w:abstractNumId w:val="0"/>
  </w:num>
  <w:num w:numId="26" w16cid:durableId="1966080770">
    <w:abstractNumId w:val="2"/>
  </w:num>
  <w:num w:numId="27" w16cid:durableId="531302550">
    <w:abstractNumId w:val="33"/>
  </w:num>
  <w:num w:numId="28" w16cid:durableId="713315975">
    <w:abstractNumId w:val="7"/>
  </w:num>
  <w:num w:numId="29" w16cid:durableId="1268002568">
    <w:abstractNumId w:val="32"/>
  </w:num>
  <w:num w:numId="30" w16cid:durableId="1622150684">
    <w:abstractNumId w:val="22"/>
  </w:num>
  <w:num w:numId="31" w16cid:durableId="768623634">
    <w:abstractNumId w:val="35"/>
  </w:num>
  <w:num w:numId="32" w16cid:durableId="926428822">
    <w:abstractNumId w:val="27"/>
  </w:num>
  <w:num w:numId="33" w16cid:durableId="1959141151">
    <w:abstractNumId w:val="30"/>
  </w:num>
  <w:num w:numId="34" w16cid:durableId="786923491">
    <w:abstractNumId w:val="11"/>
  </w:num>
  <w:num w:numId="35" w16cid:durableId="236139092">
    <w:abstractNumId w:val="21"/>
  </w:num>
  <w:num w:numId="36" w16cid:durableId="109012491">
    <w:abstractNumId w:val="17"/>
  </w:num>
  <w:num w:numId="37" w16cid:durableId="54551346">
    <w:abstractNumId w:val="24"/>
  </w:num>
  <w:num w:numId="38" w16cid:durableId="1154564729">
    <w:abstractNumId w:val="28"/>
  </w:num>
  <w:num w:numId="39" w16cid:durableId="1449085929">
    <w:abstractNumId w:val="20"/>
  </w:num>
  <w:num w:numId="40" w16cid:durableId="1732464654">
    <w:abstractNumId w:val="44"/>
  </w:num>
  <w:num w:numId="41" w16cid:durableId="1732607764">
    <w:abstractNumId w:val="26"/>
  </w:num>
  <w:num w:numId="42" w16cid:durableId="2143886860">
    <w:abstractNumId w:val="37"/>
  </w:num>
  <w:num w:numId="43" w16cid:durableId="2040936927">
    <w:abstractNumId w:val="38"/>
  </w:num>
  <w:num w:numId="44" w16cid:durableId="1467429253">
    <w:abstractNumId w:val="40"/>
  </w:num>
  <w:num w:numId="45" w16cid:durableId="19339738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82DC3"/>
    <w:rsid w:val="0028357C"/>
    <w:rsid w:val="00297D3E"/>
    <w:rsid w:val="002A7E0E"/>
    <w:rsid w:val="002B11E4"/>
    <w:rsid w:val="002D21EA"/>
    <w:rsid w:val="003043B8"/>
    <w:rsid w:val="003154C3"/>
    <w:rsid w:val="003170D3"/>
    <w:rsid w:val="00322BEF"/>
    <w:rsid w:val="00324B5B"/>
    <w:rsid w:val="003273D6"/>
    <w:rsid w:val="00331157"/>
    <w:rsid w:val="00332682"/>
    <w:rsid w:val="00387E91"/>
    <w:rsid w:val="003A26B8"/>
    <w:rsid w:val="003D30F5"/>
    <w:rsid w:val="003D4FD0"/>
    <w:rsid w:val="003D6DB2"/>
    <w:rsid w:val="003F00E1"/>
    <w:rsid w:val="003F2D4B"/>
    <w:rsid w:val="003F6900"/>
    <w:rsid w:val="00400105"/>
    <w:rsid w:val="00406B67"/>
    <w:rsid w:val="00407BAD"/>
    <w:rsid w:val="00420DC5"/>
    <w:rsid w:val="004215C3"/>
    <w:rsid w:val="004429BF"/>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BF3"/>
    <w:rsid w:val="00575084"/>
    <w:rsid w:val="00581ED9"/>
    <w:rsid w:val="0058318B"/>
    <w:rsid w:val="00590777"/>
    <w:rsid w:val="005A0D34"/>
    <w:rsid w:val="005A55F7"/>
    <w:rsid w:val="005C044B"/>
    <w:rsid w:val="005C31A8"/>
    <w:rsid w:val="005D5794"/>
    <w:rsid w:val="005D6934"/>
    <w:rsid w:val="005E544F"/>
    <w:rsid w:val="005F5F54"/>
    <w:rsid w:val="00601AA4"/>
    <w:rsid w:val="00606F23"/>
    <w:rsid w:val="00633E5B"/>
    <w:rsid w:val="00664042"/>
    <w:rsid w:val="00666973"/>
    <w:rsid w:val="006978C9"/>
    <w:rsid w:val="006E7C16"/>
    <w:rsid w:val="007047EA"/>
    <w:rsid w:val="007147DC"/>
    <w:rsid w:val="0075139F"/>
    <w:rsid w:val="00752E8B"/>
    <w:rsid w:val="00770C77"/>
    <w:rsid w:val="00776AEE"/>
    <w:rsid w:val="0079304B"/>
    <w:rsid w:val="0079571E"/>
    <w:rsid w:val="007C0D7A"/>
    <w:rsid w:val="007C6563"/>
    <w:rsid w:val="00823431"/>
    <w:rsid w:val="00832890"/>
    <w:rsid w:val="0086124F"/>
    <w:rsid w:val="0086754A"/>
    <w:rsid w:val="00894121"/>
    <w:rsid w:val="00894774"/>
    <w:rsid w:val="008B5141"/>
    <w:rsid w:val="008C6680"/>
    <w:rsid w:val="008F1AEC"/>
    <w:rsid w:val="00925F4A"/>
    <w:rsid w:val="009362C4"/>
    <w:rsid w:val="009451C8"/>
    <w:rsid w:val="00950FC1"/>
    <w:rsid w:val="00967733"/>
    <w:rsid w:val="009706A7"/>
    <w:rsid w:val="00985A9C"/>
    <w:rsid w:val="00987AFF"/>
    <w:rsid w:val="009C2BCD"/>
    <w:rsid w:val="009C5ED6"/>
    <w:rsid w:val="009D1716"/>
    <w:rsid w:val="00A03463"/>
    <w:rsid w:val="00A12911"/>
    <w:rsid w:val="00A155E4"/>
    <w:rsid w:val="00A27AA9"/>
    <w:rsid w:val="00A6653A"/>
    <w:rsid w:val="00A67E29"/>
    <w:rsid w:val="00A72E85"/>
    <w:rsid w:val="00A733FC"/>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45235"/>
    <w:rsid w:val="00E83C8E"/>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basedOn w:val="Domylnaczcionkaakapitu"/>
    <w:uiPriority w:val="99"/>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iPriority w:val="99"/>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3050</Words>
  <Characters>18302</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5</cp:revision>
  <cp:lastPrinted>2025-05-08T06:56:00Z</cp:lastPrinted>
  <dcterms:created xsi:type="dcterms:W3CDTF">2026-04-16T06:30:00Z</dcterms:created>
  <dcterms:modified xsi:type="dcterms:W3CDTF">2026-04-17T11:39:00Z</dcterms:modified>
</cp:coreProperties>
</file>